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4CEACA6F"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3C2996">
        <w:rPr>
          <w:rFonts w:hint="eastAsia"/>
          <w:lang w:eastAsia="zh-CN"/>
        </w:rPr>
        <w:t>普世教会史</w:t>
      </w:r>
    </w:p>
    <w:p w14:paraId="48B53FFC" w14:textId="382267B4" w:rsidR="002746CF" w:rsidRPr="00A838E8" w:rsidRDefault="002F2F31" w:rsidP="004C161F">
      <w:pPr>
        <w:pStyle w:val="Title"/>
        <w:rPr>
          <w:sz w:val="48"/>
          <w:szCs w:val="48"/>
          <w:lang w:eastAsia="zh-CN"/>
        </w:rPr>
      </w:pPr>
      <w:r>
        <w:rPr>
          <w:rFonts w:hint="eastAsia"/>
          <w:sz w:val="48"/>
          <w:szCs w:val="48"/>
          <w:lang w:eastAsia="zh-CN"/>
        </w:rPr>
        <w:t>第一</w:t>
      </w:r>
      <w:r w:rsidR="00B20935" w:rsidRPr="00A838E8">
        <w:rPr>
          <w:sz w:val="48"/>
          <w:szCs w:val="48"/>
          <w:lang w:eastAsia="zh-CN"/>
        </w:rPr>
        <w:t>讲：</w:t>
      </w:r>
      <w:r w:rsidR="003C2996">
        <w:rPr>
          <w:rFonts w:hint="eastAsia"/>
          <w:sz w:val="48"/>
          <w:szCs w:val="48"/>
          <w:lang w:eastAsia="zh-CN"/>
        </w:rPr>
        <w:t>中国教会史</w:t>
      </w:r>
    </w:p>
    <w:p w14:paraId="078840FD" w14:textId="777738EE" w:rsidR="006E375B" w:rsidRDefault="006E375B" w:rsidP="006E375B">
      <w:pPr>
        <w:rPr>
          <w:lang w:eastAsia="zh-CN"/>
        </w:rPr>
      </w:pPr>
      <w:r>
        <w:rPr>
          <w:rFonts w:hint="eastAsia"/>
          <w:lang w:eastAsia="zh-CN"/>
        </w:rPr>
        <w:t>【祷告】</w:t>
      </w:r>
    </w:p>
    <w:p w14:paraId="47853D99" w14:textId="2EB07B32" w:rsidR="003C2996" w:rsidRPr="003C2996" w:rsidRDefault="002829DD" w:rsidP="003C2996">
      <w:pPr>
        <w:pStyle w:val="Heading1"/>
        <w:spacing w:before="120" w:after="120"/>
        <w:rPr>
          <w:bCs w:val="0"/>
          <w:lang w:val="en" w:eastAsia="zh-CN"/>
        </w:rPr>
      </w:pPr>
      <w:r>
        <w:rPr>
          <w:rFonts w:hint="eastAsia"/>
          <w:lang w:eastAsia="zh-CN"/>
        </w:rPr>
        <w:t>导论</w:t>
      </w:r>
      <w:r w:rsidR="003C2996">
        <w:rPr>
          <w:rFonts w:hint="eastAsia"/>
          <w:lang w:eastAsia="zh-CN"/>
        </w:rPr>
        <w:t>：为什么我们要知道</w:t>
      </w:r>
      <w:bookmarkStart w:id="0" w:name="_lh0e6fienu4m" w:colFirst="0" w:colLast="0"/>
      <w:bookmarkEnd w:id="0"/>
      <w:r w:rsidR="003C2996" w:rsidRPr="003C2996">
        <w:rPr>
          <w:rFonts w:hint="eastAsia"/>
          <w:bCs w:val="0"/>
          <w:lang w:val="en" w:eastAsia="zh-CN"/>
        </w:rPr>
        <w:t>中国教会的历史</w:t>
      </w:r>
      <w:r w:rsidR="003C2996">
        <w:rPr>
          <w:rFonts w:hint="eastAsia"/>
          <w:bCs w:val="0"/>
          <w:lang w:val="en" w:eastAsia="zh-CN"/>
        </w:rPr>
        <w:t>？</w:t>
      </w:r>
    </w:p>
    <w:p w14:paraId="51FB31FF" w14:textId="61370A6F" w:rsidR="003C2996" w:rsidRPr="003C2996" w:rsidRDefault="003C2996" w:rsidP="003C2996">
      <w:pPr>
        <w:rPr>
          <w:lang w:val="en" w:eastAsia="zh-CN"/>
        </w:rPr>
      </w:pPr>
      <w:r w:rsidRPr="003C2996">
        <w:rPr>
          <w:rFonts w:hint="eastAsia"/>
          <w:lang w:val="en" w:eastAsia="zh-CN"/>
        </w:rPr>
        <w:t>中国教会的历史是一部扣人心弦的故事，这其中充满了无人能够预见的意外和转机。除了</w:t>
      </w:r>
      <w:r>
        <w:rPr>
          <w:rFonts w:hint="eastAsia"/>
          <w:lang w:val="en" w:eastAsia="zh-CN"/>
        </w:rPr>
        <w:t>历史</w:t>
      </w:r>
      <w:r w:rsidRPr="003C2996">
        <w:rPr>
          <w:rFonts w:hint="eastAsia"/>
          <w:lang w:val="en" w:eastAsia="zh-CN"/>
        </w:rPr>
        <w:t>本身引人入胜的内容外，还有许多原因值得我们去研究这段历史，其中有四点与我们的主题密切相关。首先，中国约有</w:t>
      </w:r>
      <w:r w:rsidRPr="003C2996">
        <w:rPr>
          <w:rFonts w:hint="eastAsia"/>
          <w:lang w:val="en" w:eastAsia="zh-CN"/>
        </w:rPr>
        <w:t>7000</w:t>
      </w:r>
      <w:r w:rsidRPr="003C2996">
        <w:rPr>
          <w:rFonts w:hint="eastAsia"/>
          <w:lang w:val="en" w:eastAsia="zh-CN"/>
        </w:rPr>
        <w:t>万到</w:t>
      </w:r>
      <w:r w:rsidRPr="003C2996">
        <w:rPr>
          <w:rFonts w:hint="eastAsia"/>
          <w:lang w:val="en" w:eastAsia="zh-CN"/>
        </w:rPr>
        <w:t>9000</w:t>
      </w:r>
      <w:r w:rsidRPr="003C2996">
        <w:rPr>
          <w:rFonts w:hint="eastAsia"/>
          <w:lang w:val="en" w:eastAsia="zh-CN"/>
        </w:rPr>
        <w:t>万基督徒</w:t>
      </w:r>
      <w:r>
        <w:rPr>
          <w:rStyle w:val="FootnoteReference"/>
          <w:lang w:val="en" w:eastAsia="zh-CN"/>
        </w:rPr>
        <w:footnoteReference w:id="1"/>
      </w:r>
      <w:r w:rsidRPr="003C2996">
        <w:rPr>
          <w:rFonts w:hint="eastAsia"/>
          <w:lang w:val="en" w:eastAsia="zh-CN"/>
        </w:rPr>
        <w:t>，如此庞大的规模让人不禁要问：“这</w:t>
      </w:r>
      <w:r>
        <w:rPr>
          <w:rFonts w:hint="eastAsia"/>
          <w:lang w:val="en" w:eastAsia="zh-CN"/>
        </w:rPr>
        <w:t>事</w:t>
      </w:r>
      <w:r w:rsidRPr="003C2996">
        <w:rPr>
          <w:rFonts w:hint="eastAsia"/>
          <w:lang w:val="en" w:eastAsia="zh-CN"/>
        </w:rPr>
        <w:t>是怎样发生的？”</w:t>
      </w:r>
      <w:r>
        <w:rPr>
          <w:rStyle w:val="FootnoteReference"/>
          <w:lang w:val="en" w:eastAsia="zh-CN"/>
        </w:rPr>
        <w:footnoteReference w:id="2"/>
      </w:r>
      <w:r w:rsidRPr="003C2996">
        <w:rPr>
          <w:rFonts w:hint="eastAsia"/>
          <w:lang w:val="en" w:eastAsia="zh-CN"/>
        </w:rPr>
        <w:t>“</w:t>
      </w:r>
      <w:r>
        <w:rPr>
          <w:rFonts w:hint="eastAsia"/>
          <w:lang w:val="en" w:eastAsia="zh-CN"/>
        </w:rPr>
        <w:t>毛泽东</w:t>
      </w:r>
      <w:r w:rsidRPr="003C2996">
        <w:rPr>
          <w:rFonts w:hint="eastAsia"/>
          <w:lang w:val="en" w:eastAsia="zh-CN"/>
        </w:rPr>
        <w:t>的无神论中国如何成为这么多基督徒的家园？”其次，由于中国在地缘政治上的巨大影响力，加上庞大的基督徒数量，这意味着在未来几十年里，中国教会在很大程度上会影响全球基督教信仰。第三，在中国教会建立和发展的前</w:t>
      </w:r>
      <w:r w:rsidRPr="003C2996">
        <w:rPr>
          <w:rFonts w:hint="eastAsia"/>
          <w:lang w:val="en" w:eastAsia="zh-CN"/>
        </w:rPr>
        <w:t>140</w:t>
      </w:r>
      <w:r w:rsidRPr="003C2996">
        <w:rPr>
          <w:rFonts w:hint="eastAsia"/>
          <w:lang w:val="en" w:eastAsia="zh-CN"/>
        </w:rPr>
        <w:t>年里，宣教士们发挥了巨大作用。我们可以从中学习到许多经验教训用于未来的宣教</w:t>
      </w:r>
      <w:r>
        <w:rPr>
          <w:rFonts w:hint="eastAsia"/>
          <w:lang w:val="en" w:eastAsia="zh-CN"/>
        </w:rPr>
        <w:t>事工</w:t>
      </w:r>
      <w:r w:rsidRPr="003C2996">
        <w:rPr>
          <w:rFonts w:hint="eastAsia"/>
          <w:lang w:val="en" w:eastAsia="zh-CN"/>
        </w:rPr>
        <w:t>。第四，我们国会山浸信会与中国基督徒有着千丝万缕的联系：我们有大约</w:t>
      </w:r>
      <w:r>
        <w:rPr>
          <w:rFonts w:hint="eastAsia"/>
          <w:lang w:val="en" w:eastAsia="zh-CN"/>
        </w:rPr>
        <w:t>几十</w:t>
      </w:r>
      <w:r w:rsidRPr="003C2996">
        <w:rPr>
          <w:rFonts w:hint="eastAsia"/>
          <w:lang w:val="en" w:eastAsia="zh-CN"/>
        </w:rPr>
        <w:t>位来自中国大陆的教会成员、有回到中国的教牧实习生、有我们差派到中国的宣教士、有面向中国留学生的国际学生事工，以及数十位来自中国的</w:t>
      </w:r>
      <w:r>
        <w:rPr>
          <w:rFonts w:hint="eastAsia"/>
          <w:lang w:val="en" w:eastAsia="zh-CN"/>
        </w:rPr>
        <w:t>基督徒领袖</w:t>
      </w:r>
      <w:r w:rsidRPr="003C2996">
        <w:rPr>
          <w:rFonts w:hint="eastAsia"/>
          <w:lang w:val="en" w:eastAsia="zh-CN"/>
        </w:rPr>
        <w:t>参加过我们的九标志周末研讨会。</w:t>
      </w:r>
    </w:p>
    <w:p w14:paraId="2CB9E98A" w14:textId="146D62DE" w:rsidR="003C2996" w:rsidRPr="003C2996" w:rsidRDefault="003C2996" w:rsidP="003C2996">
      <w:pPr>
        <w:rPr>
          <w:lang w:eastAsia="zh-CN"/>
        </w:rPr>
      </w:pPr>
      <w:r w:rsidRPr="003C2996">
        <w:rPr>
          <w:rFonts w:hint="eastAsia"/>
          <w:lang w:val="en" w:eastAsia="zh-CN"/>
        </w:rPr>
        <w:t>在我们继续探讨之前有一个简要的说明。纯粹出于务实的原因，我们在这里所讨论的历史视角仅限于中国的新教</w:t>
      </w:r>
      <w:r>
        <w:rPr>
          <w:rFonts w:hint="eastAsia"/>
          <w:lang w:val="en" w:eastAsia="zh-CN"/>
        </w:rPr>
        <w:t>基督</w:t>
      </w:r>
      <w:r w:rsidRPr="003C2996">
        <w:rPr>
          <w:rFonts w:hint="eastAsia"/>
          <w:lang w:val="en" w:eastAsia="zh-CN"/>
        </w:rPr>
        <w:t>徒</w:t>
      </w:r>
      <w:r>
        <w:rPr>
          <w:rFonts w:hint="eastAsia"/>
          <w:lang w:val="en" w:eastAsia="zh-CN"/>
        </w:rPr>
        <w:t>（不包括天主教或东正教）</w:t>
      </w:r>
      <w:r w:rsidRPr="003C2996">
        <w:rPr>
          <w:rFonts w:hint="eastAsia"/>
          <w:lang w:val="en" w:eastAsia="zh-CN"/>
        </w:rPr>
        <w:t>。除非</w:t>
      </w:r>
      <w:r>
        <w:rPr>
          <w:rFonts w:hint="eastAsia"/>
          <w:lang w:val="en" w:eastAsia="zh-CN"/>
        </w:rPr>
        <w:t>特别</w:t>
      </w:r>
      <w:r w:rsidRPr="003C2996">
        <w:rPr>
          <w:rFonts w:hint="eastAsia"/>
          <w:lang w:val="en" w:eastAsia="zh-CN"/>
        </w:rPr>
        <w:t>说明，否则“中国教会”、“中国基督徒”等</w:t>
      </w:r>
      <w:r>
        <w:rPr>
          <w:rFonts w:hint="eastAsia"/>
          <w:lang w:val="en" w:eastAsia="zh-CN"/>
        </w:rPr>
        <w:t>用词都</w:t>
      </w:r>
      <w:r w:rsidRPr="003C2996">
        <w:rPr>
          <w:rFonts w:hint="eastAsia"/>
          <w:lang w:val="en" w:eastAsia="zh-CN"/>
        </w:rPr>
        <w:t>仅用于指代新教。</w:t>
      </w:r>
    </w:p>
    <w:p w14:paraId="73412E2B" w14:textId="1198C2E5" w:rsidR="003C2996" w:rsidRPr="003C2996" w:rsidRDefault="003C2996" w:rsidP="003C2996">
      <w:pPr>
        <w:pStyle w:val="Heading1"/>
        <w:rPr>
          <w:lang w:val="en" w:eastAsia="zh-CN"/>
        </w:rPr>
      </w:pPr>
      <w:bookmarkStart w:id="1" w:name="_kb688rfn6k78" w:colFirst="0" w:colLast="0"/>
      <w:bookmarkStart w:id="2" w:name="_Hlk46824206"/>
      <w:bookmarkEnd w:id="1"/>
      <w:r w:rsidRPr="003C2996">
        <w:rPr>
          <w:rFonts w:hint="eastAsia"/>
          <w:lang w:val="en" w:eastAsia="zh-CN"/>
        </w:rPr>
        <w:t>中国教会历史</w:t>
      </w:r>
    </w:p>
    <w:p w14:paraId="26951C10" w14:textId="77777777" w:rsidR="003C2996" w:rsidRPr="003C2996" w:rsidRDefault="003C2996" w:rsidP="00992238">
      <w:pPr>
        <w:pStyle w:val="Heading2"/>
        <w:rPr>
          <w:lang w:val="en" w:eastAsia="zh-CN"/>
        </w:rPr>
      </w:pPr>
      <w:bookmarkStart w:id="3" w:name="_q0jp62ks9hml" w:colFirst="0" w:colLast="0"/>
      <w:bookmarkEnd w:id="3"/>
      <w:r w:rsidRPr="003C2996">
        <w:rPr>
          <w:rFonts w:hint="eastAsia"/>
          <w:lang w:val="en" w:eastAsia="zh-CN"/>
        </w:rPr>
        <w:t>马礼逊</w:t>
      </w:r>
    </w:p>
    <w:bookmarkEnd w:id="2"/>
    <w:p w14:paraId="41624FC7" w14:textId="22218FD9" w:rsidR="003C2996" w:rsidRPr="003C2996" w:rsidRDefault="003C2996" w:rsidP="003C2996">
      <w:pPr>
        <w:rPr>
          <w:lang w:val="en" w:eastAsia="zh-CN"/>
        </w:rPr>
      </w:pPr>
      <w:r w:rsidRPr="003C2996">
        <w:rPr>
          <w:rFonts w:hint="eastAsia"/>
          <w:lang w:val="en" w:eastAsia="zh-CN"/>
        </w:rPr>
        <w:t>到</w:t>
      </w:r>
      <w:r w:rsidRPr="003C2996">
        <w:rPr>
          <w:rFonts w:hint="eastAsia"/>
          <w:lang w:val="en" w:eastAsia="zh-CN"/>
        </w:rPr>
        <w:t>19</w:t>
      </w:r>
      <w:r w:rsidRPr="003C2996">
        <w:rPr>
          <w:rFonts w:hint="eastAsia"/>
          <w:lang w:val="en" w:eastAsia="zh-CN"/>
        </w:rPr>
        <w:t>世纪初的时候，清朝统治中国已经有</w:t>
      </w:r>
      <w:r w:rsidRPr="003C2996">
        <w:rPr>
          <w:rFonts w:hint="eastAsia"/>
          <w:lang w:val="en" w:eastAsia="zh-CN"/>
        </w:rPr>
        <w:t>150</w:t>
      </w:r>
      <w:r w:rsidRPr="003C2996">
        <w:rPr>
          <w:rFonts w:hint="eastAsia"/>
          <w:lang w:val="en" w:eastAsia="zh-CN"/>
        </w:rPr>
        <w:t>年了</w:t>
      </w:r>
      <w:r>
        <w:rPr>
          <w:rStyle w:val="FootnoteReference"/>
          <w:lang w:val="en" w:eastAsia="zh-CN"/>
        </w:rPr>
        <w:footnoteReference w:id="3"/>
      </w:r>
      <w:r w:rsidRPr="003C2996">
        <w:rPr>
          <w:rFonts w:hint="eastAsia"/>
          <w:lang w:val="en" w:eastAsia="zh-CN"/>
        </w:rPr>
        <w:t>。在这期间，中国实际上是对外国人特别是宣教士们关闭的</w:t>
      </w:r>
      <w:r>
        <w:rPr>
          <w:rStyle w:val="FootnoteReference"/>
          <w:lang w:val="en" w:eastAsia="zh-CN"/>
        </w:rPr>
        <w:footnoteReference w:id="4"/>
      </w:r>
      <w:r w:rsidRPr="003C2996">
        <w:rPr>
          <w:rFonts w:hint="eastAsia"/>
          <w:lang w:val="en" w:eastAsia="zh-CN"/>
        </w:rPr>
        <w:t>。清政府禁止外国人访问中国境内的绝大部分地区，并</w:t>
      </w:r>
      <w:r>
        <w:rPr>
          <w:rFonts w:hint="eastAsia"/>
          <w:lang w:val="en" w:eastAsia="zh-CN"/>
        </w:rPr>
        <w:t>以酷刑处死</w:t>
      </w:r>
      <w:r w:rsidRPr="003C2996">
        <w:rPr>
          <w:rFonts w:hint="eastAsia"/>
          <w:lang w:val="en" w:eastAsia="zh-CN"/>
        </w:rPr>
        <w:t>那些在中国劝人信教的外国人</w:t>
      </w:r>
      <w:r>
        <w:rPr>
          <w:rStyle w:val="FootnoteReference"/>
          <w:lang w:val="en" w:eastAsia="zh-CN"/>
        </w:rPr>
        <w:footnoteReference w:id="5"/>
      </w:r>
      <w:r w:rsidRPr="003C2996">
        <w:rPr>
          <w:rFonts w:hint="eastAsia"/>
          <w:lang w:val="en" w:eastAsia="zh-CN"/>
        </w:rPr>
        <w:t>。</w:t>
      </w:r>
    </w:p>
    <w:p w14:paraId="739B6772" w14:textId="3EDB733B" w:rsidR="003C2996" w:rsidRPr="003C2996" w:rsidRDefault="003C2996" w:rsidP="003C2996">
      <w:pPr>
        <w:rPr>
          <w:lang w:val="en" w:eastAsia="zh-CN"/>
        </w:rPr>
      </w:pPr>
      <w:r w:rsidRPr="003C2996">
        <w:rPr>
          <w:rFonts w:hint="eastAsia"/>
          <w:lang w:val="en" w:eastAsia="zh-CN"/>
        </w:rPr>
        <w:t>尽管宣教工作的大环境并不乐观，但一些西方基督徒仍然考虑移居中国传扬福音，因为在这个拥有</w:t>
      </w:r>
      <w:r w:rsidRPr="003C2996">
        <w:rPr>
          <w:rFonts w:hint="eastAsia"/>
          <w:lang w:val="en" w:eastAsia="zh-CN"/>
        </w:rPr>
        <w:t>3</w:t>
      </w:r>
      <w:r w:rsidRPr="003C2996">
        <w:rPr>
          <w:rFonts w:hint="eastAsia"/>
          <w:lang w:val="en" w:eastAsia="zh-CN"/>
        </w:rPr>
        <w:t>亿人口的国家里竟然没有一个基督徒，如此明显的缺乏开始激动西方基督徒的心。</w:t>
      </w:r>
      <w:r w:rsidRPr="003C2996">
        <w:rPr>
          <w:rFonts w:hint="eastAsia"/>
          <w:lang w:val="en" w:eastAsia="zh-CN"/>
        </w:rPr>
        <w:t>1803</w:t>
      </w:r>
      <w:r w:rsidRPr="003C2996">
        <w:rPr>
          <w:rFonts w:hint="eastAsia"/>
          <w:lang w:val="en" w:eastAsia="zh-CN"/>
        </w:rPr>
        <w:t>年，一个名叫马礼逊的英国工人怀着要去中国的抱负</w:t>
      </w:r>
      <w:r>
        <w:rPr>
          <w:rStyle w:val="FootnoteReference"/>
          <w:lang w:val="en" w:eastAsia="zh-CN"/>
        </w:rPr>
        <w:footnoteReference w:id="6"/>
      </w:r>
      <w:r w:rsidRPr="003C2996">
        <w:rPr>
          <w:rFonts w:hint="eastAsia"/>
          <w:lang w:val="en" w:eastAsia="zh-CN"/>
        </w:rPr>
        <w:t>来到英格兰戈斯波特</w:t>
      </w:r>
      <w:r>
        <w:rPr>
          <w:rFonts w:hint="eastAsia"/>
          <w:lang w:val="en" w:eastAsia="zh-CN"/>
        </w:rPr>
        <w:t>（</w:t>
      </w:r>
      <w:r w:rsidRPr="003C2996">
        <w:rPr>
          <w:lang w:val="en" w:eastAsia="zh-CN"/>
        </w:rPr>
        <w:t>Gosport</w:t>
      </w:r>
      <w:r>
        <w:rPr>
          <w:rFonts w:hint="eastAsia"/>
          <w:lang w:val="en" w:eastAsia="zh-CN"/>
        </w:rPr>
        <w:t>）</w:t>
      </w:r>
      <w:r w:rsidRPr="003C2996">
        <w:rPr>
          <w:rFonts w:hint="eastAsia"/>
          <w:lang w:val="en" w:eastAsia="zh-CN"/>
        </w:rPr>
        <w:t>的宣教学院</w:t>
      </w:r>
      <w:r>
        <w:rPr>
          <w:rFonts w:hint="eastAsia"/>
          <w:lang w:val="en" w:eastAsia="zh-CN"/>
        </w:rPr>
        <w:t>（</w:t>
      </w:r>
      <w:r>
        <w:rPr>
          <w:color w:val="282D28"/>
          <w:shd w:val="clear" w:color="auto" w:fill="FFFFFF"/>
          <w:lang w:eastAsia="zh-CN"/>
        </w:rPr>
        <w:t>Missionary Academy</w:t>
      </w:r>
      <w:r>
        <w:rPr>
          <w:rFonts w:hint="eastAsia"/>
          <w:lang w:val="en" w:eastAsia="zh-CN"/>
        </w:rPr>
        <w:t>）</w:t>
      </w:r>
      <w:r w:rsidRPr="003C2996">
        <w:rPr>
          <w:rFonts w:hint="eastAsia"/>
          <w:lang w:val="en" w:eastAsia="zh-CN"/>
        </w:rPr>
        <w:t>学习。毕业后，他找到了一个住在伦敦的中国人教他两年中文</w:t>
      </w:r>
      <w:r>
        <w:rPr>
          <w:rStyle w:val="FootnoteReference"/>
          <w:lang w:val="en" w:eastAsia="zh-CN"/>
        </w:rPr>
        <w:footnoteReference w:id="7"/>
      </w:r>
      <w:r w:rsidRPr="003C2996">
        <w:rPr>
          <w:rFonts w:hint="eastAsia"/>
          <w:lang w:val="en" w:eastAsia="zh-CN"/>
        </w:rPr>
        <w:t>。事实证明，这对马礼逊而言是一个不同寻常的预备，因为在中国学习汉语的环境会相当艰难。清政府禁止其国民教授外国</w:t>
      </w:r>
      <w:r w:rsidRPr="003C2996">
        <w:rPr>
          <w:rFonts w:hint="eastAsia"/>
          <w:lang w:val="en" w:eastAsia="zh-CN"/>
        </w:rPr>
        <w:lastRenderedPageBreak/>
        <w:t>人汉语，违者一经发现往往会</w:t>
      </w:r>
      <w:r>
        <w:rPr>
          <w:rFonts w:hint="eastAsia"/>
          <w:lang w:val="en" w:eastAsia="zh-CN"/>
        </w:rPr>
        <w:t>酷刑处死</w:t>
      </w:r>
      <w:r>
        <w:rPr>
          <w:rStyle w:val="FootnoteReference"/>
          <w:lang w:val="en" w:eastAsia="zh-CN"/>
        </w:rPr>
        <w:footnoteReference w:id="8"/>
      </w:r>
      <w:r w:rsidRPr="003C2996">
        <w:rPr>
          <w:rFonts w:hint="eastAsia"/>
          <w:lang w:val="en" w:eastAsia="zh-CN"/>
        </w:rPr>
        <w:t>。</w:t>
      </w:r>
      <w:r w:rsidRPr="003C2996">
        <w:rPr>
          <w:rFonts w:hint="eastAsia"/>
          <w:lang w:val="en" w:eastAsia="zh-CN"/>
        </w:rPr>
        <w:t>1807</w:t>
      </w:r>
      <w:r w:rsidRPr="003C2996">
        <w:rPr>
          <w:rFonts w:hint="eastAsia"/>
          <w:lang w:val="en" w:eastAsia="zh-CN"/>
        </w:rPr>
        <w:t>年，马礼逊曾寻求通过东印度公司前往中国，但遭到拒绝</w:t>
      </w:r>
      <w:r>
        <w:rPr>
          <w:rStyle w:val="FootnoteReference"/>
          <w:lang w:val="en" w:eastAsia="zh-CN"/>
        </w:rPr>
        <w:footnoteReference w:id="9"/>
      </w:r>
      <w:r w:rsidRPr="003C2996">
        <w:rPr>
          <w:rFonts w:hint="eastAsia"/>
          <w:lang w:val="en" w:eastAsia="zh-CN"/>
        </w:rPr>
        <w:t>。结果，他只能先乘船航行</w:t>
      </w:r>
      <w:r w:rsidRPr="003C2996">
        <w:rPr>
          <w:rFonts w:hint="eastAsia"/>
          <w:lang w:val="en" w:eastAsia="zh-CN"/>
        </w:rPr>
        <w:t>80</w:t>
      </w:r>
      <w:r w:rsidRPr="003C2996">
        <w:rPr>
          <w:rFonts w:hint="eastAsia"/>
          <w:lang w:val="en" w:eastAsia="zh-CN"/>
        </w:rPr>
        <w:t>天抵达纽约，然后再从那里乘船</w:t>
      </w:r>
      <w:r w:rsidRPr="003C2996">
        <w:rPr>
          <w:rFonts w:hint="eastAsia"/>
          <w:lang w:val="en" w:eastAsia="zh-CN"/>
        </w:rPr>
        <w:t>113</w:t>
      </w:r>
      <w:r w:rsidRPr="003C2996">
        <w:rPr>
          <w:rFonts w:hint="eastAsia"/>
          <w:lang w:val="en" w:eastAsia="zh-CN"/>
        </w:rPr>
        <w:t>天到达中国广州</w:t>
      </w:r>
      <w:r>
        <w:rPr>
          <w:rStyle w:val="FootnoteReference"/>
          <w:lang w:val="en" w:eastAsia="zh-CN"/>
        </w:rPr>
        <w:footnoteReference w:id="10"/>
      </w:r>
      <w:r w:rsidRPr="003C2996">
        <w:rPr>
          <w:rFonts w:hint="eastAsia"/>
          <w:lang w:val="en" w:eastAsia="zh-CN"/>
        </w:rPr>
        <w:t>。</w:t>
      </w:r>
    </w:p>
    <w:p w14:paraId="2BDC7EAB" w14:textId="3B5045EB" w:rsidR="003C2996" w:rsidRPr="003C2996" w:rsidRDefault="003C2996" w:rsidP="003C2996">
      <w:pPr>
        <w:rPr>
          <w:lang w:val="en" w:eastAsia="zh-CN"/>
        </w:rPr>
      </w:pPr>
      <w:r w:rsidRPr="003C2996">
        <w:rPr>
          <w:rFonts w:hint="eastAsia"/>
          <w:lang w:val="en" w:eastAsia="zh-CN"/>
        </w:rPr>
        <w:t>1807</w:t>
      </w:r>
      <w:r w:rsidRPr="003C2996">
        <w:rPr>
          <w:rFonts w:hint="eastAsia"/>
          <w:lang w:val="en" w:eastAsia="zh-CN"/>
        </w:rPr>
        <w:t>年</w:t>
      </w:r>
      <w:r w:rsidRPr="003C2996">
        <w:rPr>
          <w:rFonts w:hint="eastAsia"/>
          <w:lang w:val="en" w:eastAsia="zh-CN"/>
        </w:rPr>
        <w:t>9</w:t>
      </w:r>
      <w:r w:rsidRPr="003C2996">
        <w:rPr>
          <w:rFonts w:hint="eastAsia"/>
          <w:lang w:val="en" w:eastAsia="zh-CN"/>
        </w:rPr>
        <w:t>月</w:t>
      </w:r>
      <w:r w:rsidRPr="003C2996">
        <w:rPr>
          <w:rFonts w:hint="eastAsia"/>
          <w:lang w:val="en" w:eastAsia="zh-CN"/>
        </w:rPr>
        <w:t>7</w:t>
      </w:r>
      <w:r w:rsidRPr="003C2996">
        <w:rPr>
          <w:rFonts w:hint="eastAsia"/>
          <w:lang w:val="en" w:eastAsia="zh-CN"/>
        </w:rPr>
        <w:t>日，马礼逊到达广州。到达后不久，他发现面临着一个非常重要的抉择：</w:t>
      </w:r>
      <w:r>
        <w:rPr>
          <w:rFonts w:hint="eastAsia"/>
          <w:lang w:val="en" w:eastAsia="zh-CN"/>
        </w:rPr>
        <w:t>先</w:t>
      </w:r>
      <w:r w:rsidRPr="003C2996">
        <w:rPr>
          <w:rFonts w:hint="eastAsia"/>
          <w:lang w:val="en" w:eastAsia="zh-CN"/>
        </w:rPr>
        <w:t>传福音还是</w:t>
      </w:r>
      <w:r>
        <w:rPr>
          <w:rFonts w:hint="eastAsia"/>
          <w:lang w:val="en" w:eastAsia="zh-CN"/>
        </w:rPr>
        <w:t>先</w:t>
      </w:r>
      <w:r w:rsidRPr="003C2996">
        <w:rPr>
          <w:rFonts w:hint="eastAsia"/>
          <w:lang w:val="en" w:eastAsia="zh-CN"/>
        </w:rPr>
        <w:t>翻译圣经</w:t>
      </w:r>
      <w:r>
        <w:rPr>
          <w:rStyle w:val="FootnoteReference"/>
          <w:lang w:val="en" w:eastAsia="zh-CN"/>
        </w:rPr>
        <w:footnoteReference w:id="11"/>
      </w:r>
      <w:r w:rsidRPr="003C2996">
        <w:rPr>
          <w:rFonts w:hint="eastAsia"/>
          <w:lang w:val="en" w:eastAsia="zh-CN"/>
        </w:rPr>
        <w:t>？马礼逊料定传福音会使他在短时间内就被驱逐出境，而从另一个方面看，将来每一个归信的中国人都需要圣经</w:t>
      </w:r>
      <w:r>
        <w:rPr>
          <w:rStyle w:val="FootnoteReference"/>
          <w:lang w:val="en" w:eastAsia="zh-CN"/>
        </w:rPr>
        <w:footnoteReference w:id="12"/>
      </w:r>
      <w:r w:rsidRPr="003C2996">
        <w:rPr>
          <w:rFonts w:hint="eastAsia"/>
          <w:lang w:val="en" w:eastAsia="zh-CN"/>
        </w:rPr>
        <w:t>。因此，在到达中国后的几个月，马礼逊就开始翻译圣经</w:t>
      </w:r>
      <w:r>
        <w:rPr>
          <w:rStyle w:val="FootnoteReference"/>
          <w:lang w:val="en" w:eastAsia="zh-CN"/>
        </w:rPr>
        <w:footnoteReference w:id="13"/>
      </w:r>
      <w:r w:rsidRPr="003C2996">
        <w:rPr>
          <w:rFonts w:hint="eastAsia"/>
          <w:lang w:val="en" w:eastAsia="zh-CN"/>
        </w:rPr>
        <w:t>。之后的</w:t>
      </w:r>
      <w:r w:rsidRPr="003C2996">
        <w:rPr>
          <w:rFonts w:hint="eastAsia"/>
          <w:lang w:val="en" w:eastAsia="zh-CN"/>
        </w:rPr>
        <w:t>27</w:t>
      </w:r>
      <w:r w:rsidRPr="003C2996">
        <w:rPr>
          <w:rFonts w:hint="eastAsia"/>
          <w:lang w:val="en" w:eastAsia="zh-CN"/>
        </w:rPr>
        <w:t>年，马礼逊一直殷勤地致力于中文基督教</w:t>
      </w:r>
      <w:r>
        <w:rPr>
          <w:rFonts w:hint="eastAsia"/>
          <w:lang w:val="en" w:eastAsia="zh-CN"/>
        </w:rPr>
        <w:t>文字</w:t>
      </w:r>
      <w:r w:rsidRPr="003C2996">
        <w:rPr>
          <w:rFonts w:hint="eastAsia"/>
          <w:lang w:val="en" w:eastAsia="zh-CN"/>
        </w:rPr>
        <w:t>出版工作，这为后来的福音工作奠定了坚实的基础。到</w:t>
      </w:r>
      <w:r w:rsidRPr="003C2996">
        <w:rPr>
          <w:rFonts w:hint="eastAsia"/>
          <w:lang w:val="en" w:eastAsia="zh-CN"/>
        </w:rPr>
        <w:t>1834</w:t>
      </w:r>
      <w:r w:rsidRPr="003C2996">
        <w:rPr>
          <w:rFonts w:hint="eastAsia"/>
          <w:lang w:val="en" w:eastAsia="zh-CN"/>
        </w:rPr>
        <w:t>年马礼逊去世时，他毕生大约只为</w:t>
      </w:r>
      <w:r w:rsidRPr="003C2996">
        <w:rPr>
          <w:rFonts w:hint="eastAsia"/>
          <w:lang w:val="en" w:eastAsia="zh-CN"/>
        </w:rPr>
        <w:t>10</w:t>
      </w:r>
      <w:r w:rsidRPr="003C2996">
        <w:rPr>
          <w:rFonts w:hint="eastAsia"/>
          <w:lang w:val="en" w:eastAsia="zh-CN"/>
        </w:rPr>
        <w:t>名中国信徒施过洗</w:t>
      </w:r>
      <w:r>
        <w:rPr>
          <w:rStyle w:val="FootnoteReference"/>
          <w:lang w:val="en" w:eastAsia="zh-CN"/>
        </w:rPr>
        <w:footnoteReference w:id="14"/>
      </w:r>
      <w:r w:rsidRPr="003C2996">
        <w:rPr>
          <w:rFonts w:hint="eastAsia"/>
          <w:lang w:val="en" w:eastAsia="zh-CN"/>
        </w:rPr>
        <w:t>，但事实证明他的一生是多结果子的。他出版了第一部汉语系统语法书、一部三卷的中英词典、一本</w:t>
      </w:r>
      <w:r w:rsidRPr="003C2996">
        <w:rPr>
          <w:rFonts w:hint="eastAsia"/>
          <w:lang w:val="en" w:eastAsia="zh-CN"/>
        </w:rPr>
        <w:t>103</w:t>
      </w:r>
      <w:r w:rsidRPr="003C2996">
        <w:rPr>
          <w:rFonts w:hint="eastAsia"/>
          <w:lang w:val="en" w:eastAsia="zh-CN"/>
        </w:rPr>
        <w:t>问的教义问答</w:t>
      </w:r>
      <w:r>
        <w:rPr>
          <w:rStyle w:val="FootnoteReference"/>
          <w:lang w:val="en" w:eastAsia="zh-CN"/>
        </w:rPr>
        <w:footnoteReference w:id="15"/>
      </w:r>
      <w:r w:rsidRPr="003C2996">
        <w:rPr>
          <w:rFonts w:hint="eastAsia"/>
          <w:lang w:val="en" w:eastAsia="zh-CN"/>
        </w:rPr>
        <w:t>以及一部中文圣经</w:t>
      </w:r>
      <w:r>
        <w:rPr>
          <w:rStyle w:val="FootnoteReference"/>
          <w:lang w:val="en" w:eastAsia="zh-CN"/>
        </w:rPr>
        <w:footnoteReference w:id="16"/>
      </w:r>
      <w:r w:rsidRPr="003C2996">
        <w:rPr>
          <w:rFonts w:hint="eastAsia"/>
          <w:lang w:val="en" w:eastAsia="zh-CN"/>
        </w:rPr>
        <w:t>。</w:t>
      </w:r>
    </w:p>
    <w:p w14:paraId="44F44282" w14:textId="77777777" w:rsidR="003C2996" w:rsidRPr="003C2996" w:rsidRDefault="003C2996" w:rsidP="00992238">
      <w:pPr>
        <w:pStyle w:val="Heading2"/>
        <w:rPr>
          <w:lang w:val="en" w:eastAsia="zh-CN"/>
        </w:rPr>
      </w:pPr>
      <w:bookmarkStart w:id="4" w:name="_vzxr98ueazm" w:colFirst="0" w:colLast="0"/>
      <w:bookmarkStart w:id="5" w:name="_Hlk46824230"/>
      <w:bookmarkEnd w:id="4"/>
      <w:r w:rsidRPr="003C2996">
        <w:rPr>
          <w:rFonts w:hint="eastAsia"/>
          <w:lang w:val="en" w:eastAsia="zh-CN"/>
        </w:rPr>
        <w:t>第一次鸦片战争</w:t>
      </w:r>
    </w:p>
    <w:bookmarkEnd w:id="5"/>
    <w:p w14:paraId="69A84DA4" w14:textId="5F41EF4C" w:rsidR="003C2996" w:rsidRPr="003C2996" w:rsidRDefault="003C2996" w:rsidP="003C2996">
      <w:pPr>
        <w:rPr>
          <w:lang w:val="en" w:eastAsia="zh-CN"/>
        </w:rPr>
      </w:pPr>
      <w:r w:rsidRPr="003C2996">
        <w:rPr>
          <w:rFonts w:hint="eastAsia"/>
          <w:lang w:val="en" w:eastAsia="zh-CN"/>
        </w:rPr>
        <w:t>在马礼逊生命的最后十年里，从英属印度</w:t>
      </w:r>
      <w:r w:rsidR="00D05482" w:rsidRPr="003C2996">
        <w:rPr>
          <w:rFonts w:hint="eastAsia"/>
          <w:lang w:val="en" w:eastAsia="zh-CN"/>
        </w:rPr>
        <w:t>非法</w:t>
      </w:r>
      <w:r w:rsidRPr="003C2996">
        <w:rPr>
          <w:rFonts w:hint="eastAsia"/>
          <w:lang w:val="en" w:eastAsia="zh-CN"/>
        </w:rPr>
        <w:t>进口到中国的鸦片因</w:t>
      </w:r>
      <w:r w:rsidR="00D05482">
        <w:rPr>
          <w:rFonts w:hint="eastAsia"/>
          <w:lang w:val="en" w:eastAsia="zh-CN"/>
        </w:rPr>
        <w:t>给走私者带来</w:t>
      </w:r>
      <w:r w:rsidRPr="003C2996">
        <w:rPr>
          <w:rFonts w:hint="eastAsia"/>
          <w:lang w:val="en" w:eastAsia="zh-CN"/>
        </w:rPr>
        <w:t>暴利而数量剧增，这使得英国政府和清政府之间的关系开始变得日益紧张</w:t>
      </w:r>
      <w:r w:rsidR="00D05482">
        <w:rPr>
          <w:rStyle w:val="FootnoteReference"/>
          <w:lang w:val="en" w:eastAsia="zh-CN"/>
        </w:rPr>
        <w:footnoteReference w:id="17"/>
      </w:r>
      <w:r w:rsidRPr="003C2996">
        <w:rPr>
          <w:rFonts w:hint="eastAsia"/>
          <w:lang w:val="en" w:eastAsia="zh-CN"/>
        </w:rPr>
        <w:t>。到马礼逊去世时，鸦片瘾已经摧毁了</w:t>
      </w:r>
      <w:r w:rsidRPr="003C2996">
        <w:rPr>
          <w:rFonts w:hint="eastAsia"/>
          <w:lang w:val="en" w:eastAsia="zh-CN"/>
        </w:rPr>
        <w:t>200</w:t>
      </w:r>
      <w:r w:rsidRPr="003C2996">
        <w:rPr>
          <w:rFonts w:hint="eastAsia"/>
          <w:lang w:val="en" w:eastAsia="zh-CN"/>
        </w:rPr>
        <w:t>多万中国人的生活并且造成了巨大的社会痼疾</w:t>
      </w:r>
      <w:r w:rsidR="00D05482">
        <w:rPr>
          <w:rStyle w:val="FootnoteReference"/>
          <w:lang w:val="en" w:eastAsia="zh-CN"/>
        </w:rPr>
        <w:footnoteReference w:id="18"/>
      </w:r>
      <w:r w:rsidRPr="003C2996">
        <w:rPr>
          <w:rFonts w:hint="eastAsia"/>
          <w:lang w:val="en" w:eastAsia="zh-CN"/>
        </w:rPr>
        <w:t>。这个矛盾在</w:t>
      </w:r>
      <w:r w:rsidRPr="003C2996">
        <w:rPr>
          <w:rFonts w:hint="eastAsia"/>
          <w:lang w:val="en" w:eastAsia="zh-CN"/>
        </w:rPr>
        <w:t>1839</w:t>
      </w:r>
      <w:r w:rsidRPr="003C2996">
        <w:rPr>
          <w:rFonts w:hint="eastAsia"/>
          <w:lang w:val="en" w:eastAsia="zh-CN"/>
        </w:rPr>
        <w:t>年随着中英军事冲突</w:t>
      </w:r>
      <w:r w:rsidR="00D05482">
        <w:rPr>
          <w:rFonts w:hint="eastAsia"/>
          <w:lang w:val="en" w:eastAsia="zh-CN"/>
        </w:rPr>
        <w:t>彻底</w:t>
      </w:r>
      <w:r w:rsidRPr="003C2996">
        <w:rPr>
          <w:rFonts w:hint="eastAsia"/>
          <w:lang w:val="en" w:eastAsia="zh-CN"/>
        </w:rPr>
        <w:t>爆发，后来</w:t>
      </w:r>
      <w:r w:rsidR="00D05482">
        <w:rPr>
          <w:rFonts w:hint="eastAsia"/>
          <w:lang w:val="en" w:eastAsia="zh-CN"/>
        </w:rPr>
        <w:t>这次军事冲突</w:t>
      </w:r>
      <w:r w:rsidRPr="003C2996">
        <w:rPr>
          <w:rFonts w:hint="eastAsia"/>
          <w:lang w:val="en" w:eastAsia="zh-CN"/>
        </w:rPr>
        <w:t>被称为第一次鸦片战争。</w:t>
      </w:r>
      <w:r w:rsidRPr="003C2996">
        <w:rPr>
          <w:rFonts w:hint="eastAsia"/>
          <w:lang w:val="en" w:eastAsia="zh-CN"/>
        </w:rPr>
        <w:t>1842</w:t>
      </w:r>
      <w:r w:rsidRPr="003C2996">
        <w:rPr>
          <w:rFonts w:hint="eastAsia"/>
          <w:lang w:val="en" w:eastAsia="zh-CN"/>
        </w:rPr>
        <w:t>年，英国靠坚船利炮打败了古老而落后的中国，并在第一个</w:t>
      </w:r>
      <w:r w:rsidR="00D05482">
        <w:rPr>
          <w:rFonts w:hint="eastAsia"/>
          <w:lang w:val="en" w:eastAsia="zh-CN"/>
        </w:rPr>
        <w:t>所谓的</w:t>
      </w:r>
      <w:r w:rsidRPr="003C2996">
        <w:rPr>
          <w:rFonts w:hint="eastAsia"/>
          <w:lang w:val="en" w:eastAsia="zh-CN"/>
        </w:rPr>
        <w:t>不平等条约中获得了解决</w:t>
      </w:r>
      <w:r w:rsidR="00D05482">
        <w:rPr>
          <w:rFonts w:hint="eastAsia"/>
          <w:lang w:val="en" w:eastAsia="zh-CN"/>
        </w:rPr>
        <w:t>方案</w:t>
      </w:r>
      <w:r w:rsidR="00D05482">
        <w:rPr>
          <w:rStyle w:val="FootnoteReference"/>
          <w:lang w:val="en" w:eastAsia="zh-CN"/>
        </w:rPr>
        <w:footnoteReference w:id="19"/>
      </w:r>
      <w:r w:rsidRPr="003C2996">
        <w:rPr>
          <w:rFonts w:hint="eastAsia"/>
          <w:lang w:val="en" w:eastAsia="zh-CN"/>
        </w:rPr>
        <w:t>。这份条约中的两项条款将改变基督教在中国的历史进程：</w:t>
      </w:r>
      <w:r w:rsidR="00D05482">
        <w:rPr>
          <w:rFonts w:hint="eastAsia"/>
          <w:lang w:val="en" w:eastAsia="zh-CN"/>
        </w:rPr>
        <w:t>第一，</w:t>
      </w:r>
      <w:r w:rsidRPr="003C2996">
        <w:rPr>
          <w:rFonts w:hint="eastAsia"/>
          <w:lang w:val="en" w:eastAsia="zh-CN"/>
        </w:rPr>
        <w:t>基督教成为合法</w:t>
      </w:r>
      <w:r w:rsidR="00D05482">
        <w:rPr>
          <w:rFonts w:hint="eastAsia"/>
          <w:lang w:val="en" w:eastAsia="zh-CN"/>
        </w:rPr>
        <w:t>宗教</w:t>
      </w:r>
      <w:r w:rsidR="00D05482">
        <w:rPr>
          <w:rStyle w:val="FootnoteReference"/>
          <w:lang w:val="en" w:eastAsia="zh-CN"/>
        </w:rPr>
        <w:footnoteReference w:id="20"/>
      </w:r>
      <w:r w:rsidRPr="003C2996">
        <w:rPr>
          <w:rFonts w:hint="eastAsia"/>
          <w:lang w:val="en" w:eastAsia="zh-CN"/>
        </w:rPr>
        <w:t>。（</w:t>
      </w:r>
      <w:r w:rsidRPr="003C2996">
        <w:rPr>
          <w:rFonts w:hint="eastAsia"/>
          <w:lang w:val="en" w:eastAsia="zh-CN"/>
        </w:rPr>
        <w:t>2</w:t>
      </w:r>
      <w:r w:rsidRPr="003C2996">
        <w:rPr>
          <w:rFonts w:hint="eastAsia"/>
          <w:lang w:val="en" w:eastAsia="zh-CN"/>
        </w:rPr>
        <w:t>）开放包括上海和广州在内的五个沿海城市作为通商口岸</w:t>
      </w:r>
      <w:r w:rsidR="00D05482">
        <w:rPr>
          <w:rStyle w:val="FootnoteReference"/>
          <w:lang w:val="en" w:eastAsia="zh-CN"/>
        </w:rPr>
        <w:footnoteReference w:id="21"/>
      </w:r>
      <w:r w:rsidRPr="003C2996">
        <w:rPr>
          <w:rFonts w:hint="eastAsia"/>
          <w:lang w:val="en" w:eastAsia="zh-CN"/>
        </w:rPr>
        <w:t>和外国人包括宣教士在内的永久居住地</w:t>
      </w:r>
      <w:r w:rsidR="00D05482">
        <w:rPr>
          <w:rStyle w:val="FootnoteReference"/>
          <w:lang w:val="en" w:eastAsia="zh-CN"/>
        </w:rPr>
        <w:footnoteReference w:id="22"/>
      </w:r>
      <w:r w:rsidRPr="003C2996">
        <w:rPr>
          <w:rFonts w:hint="eastAsia"/>
          <w:lang w:val="en" w:eastAsia="zh-CN"/>
        </w:rPr>
        <w:t>。</w:t>
      </w:r>
    </w:p>
    <w:p w14:paraId="78B7734D" w14:textId="3058D346" w:rsidR="003C2996" w:rsidRPr="003C2996" w:rsidRDefault="003C2996" w:rsidP="003C2996">
      <w:pPr>
        <w:rPr>
          <w:lang w:eastAsia="zh-CN"/>
        </w:rPr>
      </w:pPr>
      <w:r w:rsidRPr="003C2996">
        <w:rPr>
          <w:rFonts w:hint="eastAsia"/>
          <w:lang w:val="en" w:eastAsia="zh-CN"/>
        </w:rPr>
        <w:t>回顾历史，那</w:t>
      </w:r>
      <w:r w:rsidRPr="003C2996">
        <w:rPr>
          <w:rFonts w:hint="eastAsia"/>
          <w:lang w:eastAsia="zh-CN"/>
        </w:rPr>
        <w:t>些</w:t>
      </w:r>
      <w:r w:rsidRPr="003C2996">
        <w:rPr>
          <w:rFonts w:hint="eastAsia"/>
          <w:lang w:val="en" w:eastAsia="zh-CN"/>
        </w:rPr>
        <w:t>不平等条约是一个</w:t>
      </w:r>
      <w:r w:rsidR="00D05482">
        <w:rPr>
          <w:rFonts w:hint="eastAsia"/>
          <w:lang w:val="en" w:eastAsia="zh-CN"/>
        </w:rPr>
        <w:t>令人感到心情复杂的</w:t>
      </w:r>
      <w:r w:rsidRPr="003C2996">
        <w:rPr>
          <w:rFonts w:hint="eastAsia"/>
          <w:lang w:val="en" w:eastAsia="zh-CN"/>
        </w:rPr>
        <w:t>祝福。在西方人经营了几十年极具危害的鸦片贸易后，西方宣教士们通过其政府强加给清政府的一份条约得以进入中国。这一事实成为了中国基督徒身上沉重的枷锁，甚至这个影响到今天还在继续。这是一个可悲但又无法回避的历史事实：同一个条约，本意上是</w:t>
      </w:r>
      <w:r w:rsidR="00D05482">
        <w:rPr>
          <w:rFonts w:hint="eastAsia"/>
          <w:lang w:val="en" w:eastAsia="zh-CN"/>
        </w:rPr>
        <w:t>借着</w:t>
      </w:r>
      <w:r w:rsidRPr="003C2996">
        <w:rPr>
          <w:rFonts w:hint="eastAsia"/>
          <w:lang w:val="en" w:eastAsia="zh-CN"/>
        </w:rPr>
        <w:t>鸦片生意</w:t>
      </w:r>
      <w:r w:rsidR="00D05482" w:rsidRPr="003C2996">
        <w:rPr>
          <w:rFonts w:hint="eastAsia"/>
          <w:lang w:val="en" w:eastAsia="zh-CN"/>
        </w:rPr>
        <w:t>合法</w:t>
      </w:r>
      <w:r w:rsidR="00D05482">
        <w:rPr>
          <w:rFonts w:hint="eastAsia"/>
          <w:lang w:val="en" w:eastAsia="zh-CN"/>
        </w:rPr>
        <w:t>化而</w:t>
      </w:r>
      <w:r w:rsidRPr="003C2996">
        <w:rPr>
          <w:rFonts w:hint="eastAsia"/>
          <w:lang w:val="en" w:eastAsia="zh-CN"/>
        </w:rPr>
        <w:t>打开中国市场，而同时也为</w:t>
      </w:r>
      <w:r w:rsidR="00D05482">
        <w:rPr>
          <w:rFonts w:hint="eastAsia"/>
          <w:lang w:val="en" w:eastAsia="zh-CN"/>
        </w:rPr>
        <w:t>借着</w:t>
      </w:r>
      <w:r w:rsidRPr="003C2996">
        <w:rPr>
          <w:rFonts w:hint="eastAsia"/>
          <w:lang w:val="en" w:eastAsia="zh-CN"/>
        </w:rPr>
        <w:t>宣教</w:t>
      </w:r>
      <w:r w:rsidR="00D05482">
        <w:rPr>
          <w:rFonts w:hint="eastAsia"/>
          <w:lang w:val="en" w:eastAsia="zh-CN"/>
        </w:rPr>
        <w:t>事工的合法化而</w:t>
      </w:r>
      <w:r w:rsidRPr="003C2996">
        <w:rPr>
          <w:rFonts w:hint="eastAsia"/>
          <w:lang w:val="en" w:eastAsia="zh-CN"/>
        </w:rPr>
        <w:lastRenderedPageBreak/>
        <w:t>打开了中国</w:t>
      </w:r>
      <w:r w:rsidR="00D05482">
        <w:rPr>
          <w:rFonts w:hint="eastAsia"/>
          <w:lang w:val="en" w:eastAsia="zh-CN"/>
        </w:rPr>
        <w:t>的</w:t>
      </w:r>
      <w:r w:rsidRPr="003C2996">
        <w:rPr>
          <w:rFonts w:hint="eastAsia"/>
          <w:lang w:val="en" w:eastAsia="zh-CN"/>
        </w:rPr>
        <w:t>海岸</w:t>
      </w:r>
      <w:r w:rsidR="00D05482">
        <w:rPr>
          <w:rStyle w:val="FootnoteReference"/>
          <w:lang w:val="en" w:eastAsia="zh-CN"/>
        </w:rPr>
        <w:footnoteReference w:id="23"/>
      </w:r>
      <w:r w:rsidRPr="003C2996">
        <w:rPr>
          <w:rFonts w:hint="eastAsia"/>
          <w:lang w:val="en" w:eastAsia="zh-CN"/>
        </w:rPr>
        <w:t>。尽管许多在华的西方基督徒</w:t>
      </w:r>
      <w:r w:rsidR="00D05482">
        <w:rPr>
          <w:rFonts w:hint="eastAsia"/>
          <w:lang w:val="en" w:eastAsia="zh-CN"/>
        </w:rPr>
        <w:t>一直</w:t>
      </w:r>
      <w:r w:rsidRPr="003C2996">
        <w:rPr>
          <w:rFonts w:hint="eastAsia"/>
          <w:lang w:val="en" w:eastAsia="zh-CN"/>
        </w:rPr>
        <w:t>谴责</w:t>
      </w:r>
      <w:r w:rsidR="00D05482">
        <w:rPr>
          <w:rStyle w:val="FootnoteReference"/>
          <w:lang w:val="en" w:eastAsia="zh-CN"/>
        </w:rPr>
        <w:footnoteReference w:id="24"/>
      </w:r>
      <w:r w:rsidRPr="003C2996">
        <w:rPr>
          <w:rFonts w:hint="eastAsia"/>
          <w:lang w:val="en" w:eastAsia="zh-CN"/>
        </w:rPr>
        <w:t>鸦片</w:t>
      </w:r>
      <w:r w:rsidR="00D05482">
        <w:rPr>
          <w:rStyle w:val="FootnoteReference"/>
          <w:lang w:val="en" w:eastAsia="zh-CN"/>
        </w:rPr>
        <w:footnoteReference w:id="25"/>
      </w:r>
      <w:r w:rsidRPr="003C2996">
        <w:rPr>
          <w:rFonts w:hint="eastAsia"/>
          <w:lang w:val="en" w:eastAsia="zh-CN"/>
        </w:rPr>
        <w:t>贸易</w:t>
      </w:r>
      <w:r w:rsidR="00D05482">
        <w:rPr>
          <w:rStyle w:val="FootnoteReference"/>
          <w:lang w:val="en" w:eastAsia="zh-CN"/>
        </w:rPr>
        <w:footnoteReference w:id="26"/>
      </w:r>
      <w:r w:rsidRPr="003C2996">
        <w:rPr>
          <w:rFonts w:hint="eastAsia"/>
          <w:lang w:val="en" w:eastAsia="zh-CN"/>
        </w:rPr>
        <w:t>，但</w:t>
      </w:r>
      <w:r w:rsidR="00D05482">
        <w:rPr>
          <w:rFonts w:hint="eastAsia"/>
          <w:lang w:val="en" w:eastAsia="zh-CN"/>
        </w:rPr>
        <w:t>要</w:t>
      </w:r>
      <w:r w:rsidRPr="003C2996">
        <w:rPr>
          <w:rFonts w:hint="eastAsia"/>
          <w:lang w:val="en" w:eastAsia="zh-CN"/>
        </w:rPr>
        <w:t>彻底</w:t>
      </w:r>
      <w:r w:rsidR="00D05482">
        <w:rPr>
          <w:rFonts w:hint="eastAsia"/>
          <w:lang w:val="en" w:eastAsia="zh-CN"/>
        </w:rPr>
        <w:t>地</w:t>
      </w:r>
      <w:r w:rsidRPr="003C2996">
        <w:rPr>
          <w:rFonts w:hint="eastAsia"/>
          <w:lang w:val="en" w:eastAsia="zh-CN"/>
        </w:rPr>
        <w:t>与鸦片贸易</w:t>
      </w:r>
      <w:r w:rsidR="00D05482">
        <w:rPr>
          <w:rFonts w:hint="eastAsia"/>
          <w:lang w:val="en" w:eastAsia="zh-CN"/>
        </w:rPr>
        <w:t>进行切割</w:t>
      </w:r>
      <w:r w:rsidRPr="003C2996">
        <w:rPr>
          <w:rFonts w:hint="eastAsia"/>
          <w:lang w:val="en" w:eastAsia="zh-CN"/>
        </w:rPr>
        <w:t>几乎是不可能的，因为</w:t>
      </w:r>
      <w:r w:rsidR="00D05482">
        <w:rPr>
          <w:rFonts w:hint="eastAsia"/>
          <w:lang w:val="en" w:eastAsia="zh-CN"/>
        </w:rPr>
        <w:t>在当时搭乘</w:t>
      </w:r>
      <w:r w:rsidRPr="003C2996">
        <w:rPr>
          <w:rFonts w:hint="eastAsia"/>
          <w:lang w:val="en" w:eastAsia="zh-CN"/>
        </w:rPr>
        <w:t>鸦片船是进入中国内地的唯一途径。正如西方基督徒发现不可能</w:t>
      </w:r>
      <w:r w:rsidR="00D05482">
        <w:rPr>
          <w:rFonts w:hint="eastAsia"/>
          <w:lang w:val="en" w:eastAsia="zh-CN"/>
        </w:rPr>
        <w:t>把宣教</w:t>
      </w:r>
      <w:r w:rsidRPr="003C2996">
        <w:rPr>
          <w:rFonts w:hint="eastAsia"/>
          <w:lang w:val="en" w:eastAsia="zh-CN"/>
        </w:rPr>
        <w:t>与鸦片贸易完全</w:t>
      </w:r>
      <w:r w:rsidR="00D05482">
        <w:rPr>
          <w:rFonts w:hint="eastAsia"/>
          <w:lang w:val="en" w:eastAsia="zh-CN"/>
        </w:rPr>
        <w:t>切割</w:t>
      </w:r>
      <w:r w:rsidRPr="003C2996">
        <w:rPr>
          <w:rFonts w:hint="eastAsia"/>
          <w:lang w:val="en" w:eastAsia="zh-CN"/>
        </w:rPr>
        <w:t>一样，身为福音对象的中国人也常常无法将基督教的信息和西方基督教国家的不道德行径区分开来。伟大的基督教来华宣教士杨格非（</w:t>
      </w:r>
      <w:r w:rsidRPr="003C2996">
        <w:rPr>
          <w:rFonts w:hint="eastAsia"/>
          <w:lang w:val="en" w:eastAsia="zh-CN"/>
        </w:rPr>
        <w:t>1831-1921</w:t>
      </w:r>
      <w:r w:rsidRPr="003C2996">
        <w:rPr>
          <w:rFonts w:hint="eastAsia"/>
          <w:lang w:val="en" w:eastAsia="zh-CN"/>
        </w:rPr>
        <w:t>）曾贴切地写到</w:t>
      </w:r>
      <w:r w:rsidR="00D05482">
        <w:rPr>
          <w:rStyle w:val="FootnoteReference"/>
          <w:lang w:val="en" w:eastAsia="zh-CN"/>
        </w:rPr>
        <w:footnoteReference w:id="27"/>
      </w:r>
      <w:r w:rsidRPr="003C2996">
        <w:rPr>
          <w:rFonts w:hint="eastAsia"/>
          <w:lang w:val="en" w:eastAsia="zh-CN"/>
        </w:rPr>
        <w:t>：</w:t>
      </w:r>
      <w:r w:rsidR="00D05482">
        <w:rPr>
          <w:rFonts w:hint="eastAsia"/>
          <w:lang w:val="en" w:eastAsia="zh-CN"/>
        </w:rPr>
        <w:t>“</w:t>
      </w:r>
      <w:r w:rsidRPr="003C2996">
        <w:rPr>
          <w:rFonts w:hint="eastAsia"/>
          <w:lang w:val="en" w:eastAsia="zh-CN"/>
        </w:rPr>
        <w:t>西方人在鸦片贸易中的参与使中国人更理直气壮地反对基督教……超过了宣教士们为基督教做的或者所能够做的美好的见证。</w:t>
      </w:r>
      <w:r w:rsidR="00D05482">
        <w:rPr>
          <w:rFonts w:hint="eastAsia"/>
          <w:lang w:val="en" w:eastAsia="zh-CN"/>
        </w:rPr>
        <w:t>”</w:t>
      </w:r>
    </w:p>
    <w:p w14:paraId="30CF524D" w14:textId="45080E71" w:rsidR="003C2996" w:rsidRPr="003C2996" w:rsidRDefault="003C2996" w:rsidP="00992238">
      <w:pPr>
        <w:pStyle w:val="Heading2"/>
        <w:rPr>
          <w:lang w:val="en" w:eastAsia="zh-CN"/>
        </w:rPr>
      </w:pPr>
      <w:bookmarkStart w:id="6" w:name="_e034v1xbl0w0" w:colFirst="0" w:colLast="0"/>
      <w:bookmarkStart w:id="7" w:name="_Hlk46824241"/>
      <w:bookmarkEnd w:id="6"/>
      <w:r w:rsidRPr="003C2996">
        <w:rPr>
          <w:rFonts w:hint="eastAsia"/>
          <w:lang w:val="en" w:eastAsia="zh-CN"/>
        </w:rPr>
        <w:t>太平天国</w:t>
      </w:r>
      <w:r w:rsidR="00D05482">
        <w:rPr>
          <w:rFonts w:hint="eastAsia"/>
          <w:lang w:val="en" w:eastAsia="zh-CN"/>
        </w:rPr>
        <w:t>之乱</w:t>
      </w:r>
    </w:p>
    <w:bookmarkEnd w:id="7"/>
    <w:p w14:paraId="1C951B3B" w14:textId="5AA9BF08" w:rsidR="003C2996" w:rsidRPr="003C2996" w:rsidRDefault="003C2996" w:rsidP="003C2996">
      <w:pPr>
        <w:rPr>
          <w:lang w:val="en" w:eastAsia="zh-CN"/>
        </w:rPr>
      </w:pPr>
      <w:r w:rsidRPr="003C2996">
        <w:rPr>
          <w:rFonts w:hint="eastAsia"/>
          <w:lang w:val="en" w:eastAsia="zh-CN"/>
        </w:rPr>
        <w:t>作为不平等条约中的一部分，中国政府将香港割让给了英国</w:t>
      </w:r>
      <w:r w:rsidR="00D05482">
        <w:rPr>
          <w:rStyle w:val="FootnoteReference"/>
          <w:lang w:val="en" w:eastAsia="zh-CN"/>
        </w:rPr>
        <w:footnoteReference w:id="28"/>
      </w:r>
      <w:r w:rsidRPr="003C2996">
        <w:rPr>
          <w:rFonts w:hint="eastAsia"/>
          <w:lang w:val="en" w:eastAsia="zh-CN"/>
        </w:rPr>
        <w:t>。一些宣教士们开始在那里定居，其中有一位是浸信会的罗孝全（</w:t>
      </w:r>
      <w:r w:rsidRPr="003C2996">
        <w:rPr>
          <w:lang w:val="en" w:eastAsia="zh-CN"/>
        </w:rPr>
        <w:t>Issachar Roberts</w:t>
      </w:r>
      <w:r w:rsidRPr="003C2996">
        <w:rPr>
          <w:rFonts w:hint="eastAsia"/>
          <w:lang w:val="en" w:eastAsia="zh-CN"/>
        </w:rPr>
        <w:t>）。</w:t>
      </w:r>
      <w:r w:rsidRPr="003C2996">
        <w:rPr>
          <w:rFonts w:hint="eastAsia"/>
          <w:lang w:val="en" w:eastAsia="zh-CN"/>
        </w:rPr>
        <w:t>1847</w:t>
      </w:r>
      <w:r w:rsidRPr="003C2996">
        <w:rPr>
          <w:rFonts w:hint="eastAsia"/>
          <w:lang w:val="en" w:eastAsia="zh-CN"/>
        </w:rPr>
        <w:t>年，罗孝全花了几周时间陪伴一位精神不太稳定的人，此人名叫洪秀全</w:t>
      </w:r>
      <w:r w:rsidR="00D05482">
        <w:rPr>
          <w:rStyle w:val="FootnoteReference"/>
          <w:lang w:val="en" w:eastAsia="zh-CN"/>
        </w:rPr>
        <w:footnoteReference w:id="29"/>
      </w:r>
      <w:r w:rsidRPr="003C2996">
        <w:rPr>
          <w:rFonts w:hint="eastAsia"/>
          <w:lang w:val="en" w:eastAsia="zh-CN"/>
        </w:rPr>
        <w:t>，曾三次在科举考试中落第</w:t>
      </w:r>
      <w:r w:rsidR="00D05482">
        <w:rPr>
          <w:rStyle w:val="FootnoteReference"/>
          <w:lang w:val="en" w:eastAsia="zh-CN"/>
        </w:rPr>
        <w:footnoteReference w:id="30"/>
      </w:r>
      <w:r w:rsidRPr="003C2996">
        <w:rPr>
          <w:rFonts w:hint="eastAsia"/>
          <w:lang w:val="en" w:eastAsia="zh-CN"/>
        </w:rPr>
        <w:t>。与罗孝全的交流加上他阅读了梁发（中国第一位被按立的基督教牧师</w:t>
      </w:r>
      <w:r w:rsidR="00D05482">
        <w:rPr>
          <w:rStyle w:val="FootnoteReference"/>
          <w:lang w:val="en" w:eastAsia="zh-CN"/>
        </w:rPr>
        <w:footnoteReference w:id="31"/>
      </w:r>
      <w:r w:rsidRPr="003C2996">
        <w:rPr>
          <w:rFonts w:hint="eastAsia"/>
          <w:lang w:val="en" w:eastAsia="zh-CN"/>
        </w:rPr>
        <w:t>）撰写的福音小册子，洪秀全宣告</w:t>
      </w:r>
      <w:r w:rsidR="00D05482">
        <w:rPr>
          <w:rFonts w:hint="eastAsia"/>
          <w:lang w:val="en" w:eastAsia="zh-CN"/>
        </w:rPr>
        <w:t>自己</w:t>
      </w:r>
      <w:r w:rsidRPr="003C2996">
        <w:rPr>
          <w:rFonts w:hint="eastAsia"/>
          <w:lang w:val="en" w:eastAsia="zh-CN"/>
        </w:rPr>
        <w:t>认信基督。</w:t>
      </w:r>
    </w:p>
    <w:p w14:paraId="1F42764F" w14:textId="48FD960E" w:rsidR="003C2996" w:rsidRPr="003C2996" w:rsidRDefault="003C2996" w:rsidP="003C2996">
      <w:pPr>
        <w:rPr>
          <w:lang w:val="en" w:eastAsia="zh-CN"/>
        </w:rPr>
      </w:pPr>
      <w:r w:rsidRPr="003C2996">
        <w:rPr>
          <w:lang w:val="en" w:eastAsia="zh-CN"/>
        </w:rPr>
        <w:t>1</w:t>
      </w:r>
      <w:r w:rsidRPr="003C2996">
        <w:rPr>
          <w:rFonts w:hint="eastAsia"/>
          <w:lang w:val="en" w:eastAsia="zh-CN"/>
        </w:rPr>
        <w:t>840</w:t>
      </w:r>
      <w:r w:rsidRPr="003C2996">
        <w:rPr>
          <w:rFonts w:hint="eastAsia"/>
          <w:lang w:val="en" w:eastAsia="zh-CN"/>
        </w:rPr>
        <w:t>年代末，洪秀全建立了太平天国，并制定了共享的土地政策（天朝田亩制度）、粮食配额、男女分离等许多严苛的规定</w:t>
      </w:r>
      <w:r w:rsidR="00D05482">
        <w:rPr>
          <w:rStyle w:val="FootnoteReference"/>
          <w:lang w:val="en" w:eastAsia="zh-CN"/>
        </w:rPr>
        <w:footnoteReference w:id="32"/>
      </w:r>
      <w:r w:rsidRPr="003C2996">
        <w:rPr>
          <w:rFonts w:hint="eastAsia"/>
          <w:lang w:val="en" w:eastAsia="zh-CN"/>
        </w:rPr>
        <w:t>。起初，西方宣教士们对太平天国及其迅速发展持褒扬的态度。然而到了</w:t>
      </w:r>
      <w:r w:rsidRPr="003C2996">
        <w:rPr>
          <w:rFonts w:hint="eastAsia"/>
          <w:lang w:val="en" w:eastAsia="zh-CN"/>
        </w:rPr>
        <w:t>1852</w:t>
      </w:r>
      <w:r w:rsidRPr="003C2996">
        <w:rPr>
          <w:rFonts w:hint="eastAsia"/>
          <w:lang w:val="en" w:eastAsia="zh-CN"/>
        </w:rPr>
        <w:t>年，当太平天国在圣经中增添《天命诏旨书》时，这一举动清楚地揭示了太平天国</w:t>
      </w:r>
      <w:r w:rsidR="00D05482">
        <w:rPr>
          <w:rFonts w:hint="eastAsia"/>
          <w:lang w:val="en" w:eastAsia="zh-CN"/>
        </w:rPr>
        <w:t>所持的信念</w:t>
      </w:r>
      <w:r w:rsidRPr="003C2996">
        <w:rPr>
          <w:rFonts w:hint="eastAsia"/>
          <w:lang w:val="en" w:eastAsia="zh-CN"/>
        </w:rPr>
        <w:t>并不是正统</w:t>
      </w:r>
      <w:r w:rsidR="00D05482">
        <w:rPr>
          <w:rFonts w:hint="eastAsia"/>
          <w:lang w:val="en" w:eastAsia="zh-CN"/>
        </w:rPr>
        <w:t>基督教</w:t>
      </w:r>
      <w:r w:rsidR="00D05482">
        <w:rPr>
          <w:rStyle w:val="FootnoteReference"/>
          <w:lang w:val="en" w:eastAsia="zh-CN"/>
        </w:rPr>
        <w:footnoteReference w:id="33"/>
      </w:r>
      <w:r w:rsidRPr="003C2996">
        <w:rPr>
          <w:rFonts w:hint="eastAsia"/>
          <w:lang w:val="en" w:eastAsia="zh-CN"/>
        </w:rPr>
        <w:t>。随着太平天国更多的举措出现，这一点也越发地明晰了。例如：太平天国坚持要求其新成员在三周内记住十诫，否则将会被砍头。同样地，若是被抓到在礼拜时吵闹、被发现通奸或者吸烟达三次者也会被砍头</w:t>
      </w:r>
      <w:r w:rsidR="00D05482">
        <w:rPr>
          <w:rStyle w:val="FootnoteReference"/>
          <w:lang w:val="en" w:eastAsia="zh-CN"/>
        </w:rPr>
        <w:footnoteReference w:id="34"/>
      </w:r>
      <w:r w:rsidRPr="003C2996">
        <w:rPr>
          <w:rFonts w:hint="eastAsia"/>
          <w:lang w:val="en" w:eastAsia="zh-CN"/>
        </w:rPr>
        <w:t>。</w:t>
      </w:r>
    </w:p>
    <w:p w14:paraId="53C1804D" w14:textId="5262D97D" w:rsidR="003C2996" w:rsidRPr="003C2996" w:rsidRDefault="003C2996" w:rsidP="003C2996">
      <w:pPr>
        <w:rPr>
          <w:lang w:val="en" w:eastAsia="zh-CN"/>
        </w:rPr>
      </w:pPr>
      <w:r w:rsidRPr="003C2996">
        <w:rPr>
          <w:rFonts w:hint="eastAsia"/>
          <w:lang w:val="en" w:eastAsia="zh-CN"/>
        </w:rPr>
        <w:t>到</w:t>
      </w:r>
      <w:r w:rsidRPr="003C2996">
        <w:rPr>
          <w:rFonts w:hint="eastAsia"/>
          <w:lang w:val="en" w:eastAsia="zh-CN"/>
        </w:rPr>
        <w:t>1850</w:t>
      </w:r>
      <w:r w:rsidRPr="003C2996">
        <w:rPr>
          <w:rFonts w:hint="eastAsia"/>
          <w:lang w:val="en" w:eastAsia="zh-CN"/>
        </w:rPr>
        <w:t>年代中期，太平天国已经不仅仅是一个宗教团体了，而是演变成了一场暴力的政治和武装起义。在</w:t>
      </w:r>
      <w:r w:rsidRPr="003C2996">
        <w:rPr>
          <w:rFonts w:hint="eastAsia"/>
          <w:lang w:val="en" w:eastAsia="zh-CN"/>
        </w:rPr>
        <w:t>1851</w:t>
      </w:r>
      <w:r w:rsidRPr="003C2996">
        <w:rPr>
          <w:rFonts w:hint="eastAsia"/>
          <w:lang w:val="en" w:eastAsia="zh-CN"/>
        </w:rPr>
        <w:t>年至</w:t>
      </w:r>
      <w:r w:rsidRPr="003C2996">
        <w:rPr>
          <w:rFonts w:hint="eastAsia"/>
          <w:lang w:val="en" w:eastAsia="zh-CN"/>
        </w:rPr>
        <w:t>1864</w:t>
      </w:r>
      <w:r w:rsidRPr="003C2996">
        <w:rPr>
          <w:rFonts w:hint="eastAsia"/>
          <w:lang w:val="en" w:eastAsia="zh-CN"/>
        </w:rPr>
        <w:t>年间，伪基督教性质的太平天国反清运动及其引发的残酷内战，夺去了</w:t>
      </w:r>
      <w:r w:rsidRPr="003C2996">
        <w:rPr>
          <w:rFonts w:hint="eastAsia"/>
          <w:lang w:val="en" w:eastAsia="zh-CN"/>
        </w:rPr>
        <w:t>2000</w:t>
      </w:r>
      <w:r w:rsidRPr="003C2996">
        <w:rPr>
          <w:rFonts w:hint="eastAsia"/>
          <w:lang w:val="en" w:eastAsia="zh-CN"/>
        </w:rPr>
        <w:t>万至</w:t>
      </w:r>
      <w:r w:rsidRPr="003C2996">
        <w:rPr>
          <w:rFonts w:hint="eastAsia"/>
          <w:lang w:val="en" w:eastAsia="zh-CN"/>
        </w:rPr>
        <w:t>3000</w:t>
      </w:r>
      <w:r w:rsidRPr="003C2996">
        <w:rPr>
          <w:rFonts w:hint="eastAsia"/>
          <w:lang w:val="en" w:eastAsia="zh-CN"/>
        </w:rPr>
        <w:t>万人的生命</w:t>
      </w:r>
      <w:r w:rsidR="00D05482">
        <w:rPr>
          <w:rStyle w:val="FootnoteReference"/>
          <w:lang w:val="en" w:eastAsia="zh-CN"/>
        </w:rPr>
        <w:footnoteReference w:id="35"/>
      </w:r>
      <w:r w:rsidRPr="003C2996">
        <w:rPr>
          <w:rFonts w:hint="eastAsia"/>
          <w:lang w:val="en" w:eastAsia="zh-CN"/>
        </w:rPr>
        <w:t>。</w:t>
      </w:r>
      <w:r w:rsidR="00D05482">
        <w:rPr>
          <w:rFonts w:hint="eastAsia"/>
          <w:lang w:val="en" w:eastAsia="zh-CN"/>
        </w:rPr>
        <w:t>充满讽刺意味的是</w:t>
      </w:r>
      <w:r w:rsidRPr="003C2996">
        <w:rPr>
          <w:rFonts w:hint="eastAsia"/>
          <w:lang w:val="en" w:eastAsia="zh-CN"/>
        </w:rPr>
        <w:t>，最后竟需要一位英国基督徒将军</w:t>
      </w:r>
      <w:r w:rsidR="00D05482">
        <w:rPr>
          <w:rFonts w:hint="eastAsia"/>
          <w:lang w:val="en" w:eastAsia="zh-CN"/>
        </w:rPr>
        <w:t>（戈登）</w:t>
      </w:r>
      <w:r w:rsidRPr="003C2996">
        <w:rPr>
          <w:rFonts w:hint="eastAsia"/>
          <w:lang w:val="en" w:eastAsia="zh-CN"/>
        </w:rPr>
        <w:t>率兵</w:t>
      </w:r>
      <w:r w:rsidR="00D05482">
        <w:rPr>
          <w:rFonts w:hint="eastAsia"/>
          <w:lang w:val="en" w:eastAsia="zh-CN"/>
        </w:rPr>
        <w:t>（常胜军）</w:t>
      </w:r>
      <w:r w:rsidRPr="003C2996">
        <w:rPr>
          <w:rFonts w:hint="eastAsia"/>
          <w:lang w:val="en" w:eastAsia="zh-CN"/>
        </w:rPr>
        <w:t>将非基督教的满清政府从伪基督教的太平军手中拯救出来</w:t>
      </w:r>
      <w:r w:rsidR="00D05482">
        <w:rPr>
          <w:rStyle w:val="FootnoteReference"/>
          <w:lang w:val="en" w:eastAsia="zh-CN"/>
        </w:rPr>
        <w:footnoteReference w:id="36"/>
      </w:r>
      <w:r w:rsidRPr="003C2996">
        <w:rPr>
          <w:rFonts w:hint="eastAsia"/>
          <w:lang w:val="en" w:eastAsia="zh-CN"/>
        </w:rPr>
        <w:t>。第一次鸦片战争和不平等条约诚然是西方人加在中国基督教身上的枷锁，然而太平天国运动或许会成为中国基督徒身上更重的担子。因为两个世纪以来，渴望稳定高于一切的中国领导人借着天平天国运动看到了不受监管的宗教具有潜在的破坏力。</w:t>
      </w:r>
    </w:p>
    <w:p w14:paraId="4163EE60" w14:textId="77777777" w:rsidR="003C2996" w:rsidRPr="003C2996" w:rsidRDefault="003C2996" w:rsidP="00992238">
      <w:pPr>
        <w:pStyle w:val="Heading2"/>
        <w:rPr>
          <w:lang w:eastAsia="zh-CN"/>
        </w:rPr>
      </w:pPr>
      <w:bookmarkStart w:id="8" w:name="_tgct4ue9vtgz" w:colFirst="0" w:colLast="0"/>
      <w:bookmarkStart w:id="9" w:name="_Hlk46824255"/>
      <w:bookmarkEnd w:id="8"/>
      <w:r w:rsidRPr="003C2996">
        <w:rPr>
          <w:rFonts w:hint="eastAsia"/>
          <w:lang w:val="en" w:eastAsia="zh-CN"/>
        </w:rPr>
        <w:lastRenderedPageBreak/>
        <w:t>戴德生</w:t>
      </w:r>
    </w:p>
    <w:bookmarkEnd w:id="9"/>
    <w:p w14:paraId="31BCC200" w14:textId="19D9632B" w:rsidR="003C2996" w:rsidRPr="003C2996" w:rsidRDefault="003C2996" w:rsidP="003C2996">
      <w:pPr>
        <w:rPr>
          <w:lang w:eastAsia="zh-CN"/>
        </w:rPr>
      </w:pPr>
      <w:r w:rsidRPr="003C2996">
        <w:rPr>
          <w:rFonts w:hint="eastAsia"/>
          <w:lang w:val="en" w:eastAsia="zh-CN"/>
        </w:rPr>
        <w:t>太平天国运动失败后一年，一位病重的英国人从中国的宣教事工中抽身回国，为的是组织基督徒以一个前所未有的规模去到中国传福音</w:t>
      </w:r>
      <w:r w:rsidR="002C3C55">
        <w:rPr>
          <w:rStyle w:val="FootnoteReference"/>
          <w:lang w:val="en" w:eastAsia="zh-CN"/>
        </w:rPr>
        <w:footnoteReference w:id="37"/>
      </w:r>
      <w:r w:rsidRPr="003C2996">
        <w:rPr>
          <w:rFonts w:hint="eastAsia"/>
          <w:lang w:val="en" w:eastAsia="zh-CN"/>
        </w:rPr>
        <w:t>。尽管宣教活动在中国开展了</w:t>
      </w:r>
      <w:r w:rsidRPr="003C2996">
        <w:rPr>
          <w:rFonts w:hint="eastAsia"/>
          <w:lang w:val="en" w:eastAsia="zh-CN"/>
        </w:rPr>
        <w:t>50</w:t>
      </w:r>
      <w:r w:rsidRPr="003C2996">
        <w:rPr>
          <w:rFonts w:hint="eastAsia"/>
          <w:lang w:val="en" w:eastAsia="zh-CN"/>
        </w:rPr>
        <w:t>年，但是到</w:t>
      </w:r>
      <w:r w:rsidRPr="003C2996">
        <w:rPr>
          <w:rFonts w:hint="eastAsia"/>
          <w:lang w:val="en" w:eastAsia="zh-CN"/>
        </w:rPr>
        <w:t>1860</w:t>
      </w:r>
      <w:r w:rsidRPr="003C2996">
        <w:rPr>
          <w:rFonts w:hint="eastAsia"/>
          <w:lang w:val="en" w:eastAsia="zh-CN"/>
        </w:rPr>
        <w:t>年，只有</w:t>
      </w:r>
      <w:r w:rsidRPr="003C2996">
        <w:rPr>
          <w:rFonts w:hint="eastAsia"/>
          <w:lang w:val="en" w:eastAsia="zh-CN"/>
        </w:rPr>
        <w:t>351</w:t>
      </w:r>
      <w:r w:rsidRPr="003C2996">
        <w:rPr>
          <w:rFonts w:hint="eastAsia"/>
          <w:lang w:val="en" w:eastAsia="zh-CN"/>
        </w:rPr>
        <w:t>位新教徒和</w:t>
      </w:r>
      <w:r w:rsidRPr="003C2996">
        <w:rPr>
          <w:rFonts w:hint="eastAsia"/>
          <w:lang w:val="en" w:eastAsia="zh-CN"/>
        </w:rPr>
        <w:t>91</w:t>
      </w:r>
      <w:r w:rsidRPr="003C2996">
        <w:rPr>
          <w:rFonts w:hint="eastAsia"/>
          <w:lang w:val="en" w:eastAsia="zh-CN"/>
        </w:rPr>
        <w:t>位新教宣教士</w:t>
      </w:r>
      <w:r w:rsidR="002C3C55">
        <w:rPr>
          <w:rStyle w:val="FootnoteReference"/>
          <w:lang w:val="en" w:eastAsia="zh-CN"/>
        </w:rPr>
        <w:footnoteReference w:id="38"/>
      </w:r>
      <w:r w:rsidRPr="003C2996">
        <w:rPr>
          <w:rFonts w:hint="eastAsia"/>
          <w:lang w:val="en" w:eastAsia="zh-CN"/>
        </w:rPr>
        <w:t>。在</w:t>
      </w:r>
      <w:r w:rsidRPr="003C2996">
        <w:rPr>
          <w:rFonts w:hint="eastAsia"/>
          <w:lang w:val="en" w:eastAsia="zh-CN"/>
        </w:rPr>
        <w:t>1865</w:t>
      </w:r>
      <w:r w:rsidRPr="003C2996">
        <w:rPr>
          <w:rFonts w:hint="eastAsia"/>
          <w:lang w:val="en" w:eastAsia="zh-CN"/>
        </w:rPr>
        <w:t>年</w:t>
      </w:r>
      <w:r w:rsidRPr="003C2996">
        <w:rPr>
          <w:rFonts w:hint="eastAsia"/>
          <w:lang w:val="en" w:eastAsia="zh-CN"/>
        </w:rPr>
        <w:t>6</w:t>
      </w:r>
      <w:r w:rsidRPr="003C2996">
        <w:rPr>
          <w:rFonts w:hint="eastAsia"/>
          <w:lang w:val="en" w:eastAsia="zh-CN"/>
        </w:rPr>
        <w:t>月末，戴德生迈出了决定性的一步，他创办了</w:t>
      </w:r>
      <w:r w:rsidR="002C3C55">
        <w:rPr>
          <w:rStyle w:val="FootnoteReference"/>
          <w:lang w:val="en" w:eastAsia="zh-CN"/>
        </w:rPr>
        <w:footnoteReference w:id="39"/>
      </w:r>
      <w:r w:rsidRPr="003C2996">
        <w:rPr>
          <w:rFonts w:hint="eastAsia"/>
          <w:lang w:val="en" w:eastAsia="zh-CN"/>
        </w:rPr>
        <w:t>中国内地会（</w:t>
      </w:r>
      <w:r w:rsidRPr="003C2996">
        <w:rPr>
          <w:lang w:eastAsia="zh-CN"/>
        </w:rPr>
        <w:t>CIM</w:t>
      </w:r>
      <w:r w:rsidRPr="003C2996">
        <w:rPr>
          <w:rFonts w:hint="eastAsia"/>
          <w:lang w:val="en" w:eastAsia="zh-CN"/>
        </w:rPr>
        <w:t>）</w:t>
      </w:r>
      <w:r w:rsidR="002C3C55">
        <w:rPr>
          <w:rStyle w:val="FootnoteReference"/>
          <w:lang w:val="en" w:eastAsia="zh-CN"/>
        </w:rPr>
        <w:footnoteReference w:id="40"/>
      </w:r>
      <w:r w:rsidRPr="003C2996">
        <w:rPr>
          <w:rFonts w:hint="eastAsia"/>
          <w:lang w:val="en" w:eastAsia="zh-CN"/>
        </w:rPr>
        <w:t>，这一举动将在</w:t>
      </w:r>
      <w:r w:rsidRPr="003C2996">
        <w:rPr>
          <w:rFonts w:hint="eastAsia"/>
          <w:lang w:val="en" w:eastAsia="zh-CN"/>
        </w:rPr>
        <w:t>19</w:t>
      </w:r>
      <w:r w:rsidRPr="003C2996">
        <w:rPr>
          <w:rFonts w:hint="eastAsia"/>
          <w:lang w:val="en" w:eastAsia="zh-CN"/>
        </w:rPr>
        <w:t>世纪末极大地改变这些数字</w:t>
      </w:r>
      <w:r w:rsidR="002C3C55">
        <w:rPr>
          <w:rStyle w:val="FootnoteReference"/>
          <w:lang w:val="en" w:eastAsia="zh-CN"/>
        </w:rPr>
        <w:footnoteReference w:id="41"/>
      </w:r>
      <w:r w:rsidRPr="003C2996">
        <w:rPr>
          <w:rFonts w:hint="eastAsia"/>
          <w:lang w:val="en" w:eastAsia="zh-CN"/>
        </w:rPr>
        <w:t>。</w:t>
      </w:r>
    </w:p>
    <w:p w14:paraId="316B4DC5" w14:textId="534A2F2A" w:rsidR="003C2996" w:rsidRPr="003C2996" w:rsidRDefault="003C2996" w:rsidP="003C2996">
      <w:pPr>
        <w:rPr>
          <w:lang w:eastAsia="zh-CN"/>
        </w:rPr>
      </w:pPr>
      <w:r w:rsidRPr="003C2996">
        <w:rPr>
          <w:rFonts w:hint="eastAsia"/>
          <w:lang w:val="en" w:eastAsia="zh-CN"/>
        </w:rPr>
        <w:t>内地会</w:t>
      </w:r>
      <w:r w:rsidR="002C3C55">
        <w:rPr>
          <w:rFonts w:hint="eastAsia"/>
          <w:lang w:val="en" w:eastAsia="zh-CN"/>
        </w:rPr>
        <w:t>推动了</w:t>
      </w:r>
      <w:r w:rsidRPr="003C2996">
        <w:rPr>
          <w:rFonts w:hint="eastAsia"/>
          <w:lang w:val="en" w:eastAsia="zh-CN"/>
        </w:rPr>
        <w:t>一些在基督教宣教史上几乎是史无前例的政策：</w:t>
      </w:r>
      <w:r w:rsidR="002C3C55">
        <w:rPr>
          <w:rFonts w:hint="eastAsia"/>
          <w:lang w:val="en" w:eastAsia="zh-CN"/>
        </w:rPr>
        <w:t>第一，</w:t>
      </w:r>
      <w:r w:rsidRPr="003C2996">
        <w:rPr>
          <w:rFonts w:hint="eastAsia"/>
          <w:lang w:val="en" w:eastAsia="zh-CN"/>
        </w:rPr>
        <w:t>成为一个“信心差会”，</w:t>
      </w:r>
      <w:r w:rsidRPr="003C2996">
        <w:rPr>
          <w:rFonts w:hint="eastAsia"/>
          <w:lang w:val="en" w:eastAsia="zh-CN"/>
        </w:rPr>
        <w:t xml:space="preserve"> </w:t>
      </w:r>
      <w:r w:rsidRPr="003C2996">
        <w:rPr>
          <w:rFonts w:hint="eastAsia"/>
          <w:lang w:val="en" w:eastAsia="zh-CN"/>
        </w:rPr>
        <w:t>戴德生反对向教会</w:t>
      </w:r>
      <w:r w:rsidR="002C3C55">
        <w:rPr>
          <w:rStyle w:val="FootnoteReference"/>
          <w:lang w:val="en" w:eastAsia="zh-CN"/>
        </w:rPr>
        <w:footnoteReference w:id="42"/>
      </w:r>
      <w:r w:rsidRPr="003C2996">
        <w:rPr>
          <w:rFonts w:hint="eastAsia"/>
          <w:lang w:val="en" w:eastAsia="zh-CN"/>
        </w:rPr>
        <w:t>或个人募款</w:t>
      </w:r>
      <w:r w:rsidR="002C3C55">
        <w:rPr>
          <w:rStyle w:val="FootnoteReference"/>
          <w:lang w:val="en" w:eastAsia="zh-CN"/>
        </w:rPr>
        <w:footnoteReference w:id="43"/>
      </w:r>
      <w:r w:rsidRPr="003C2996">
        <w:rPr>
          <w:rFonts w:hint="eastAsia"/>
          <w:lang w:val="en" w:eastAsia="zh-CN"/>
        </w:rPr>
        <w:t>。</w:t>
      </w:r>
      <w:r w:rsidR="002C3C55">
        <w:rPr>
          <w:rFonts w:hint="eastAsia"/>
          <w:lang w:val="en" w:eastAsia="zh-CN"/>
        </w:rPr>
        <w:t>第二，</w:t>
      </w:r>
      <w:r w:rsidRPr="003C2996">
        <w:rPr>
          <w:rFonts w:hint="eastAsia"/>
          <w:lang w:eastAsia="zh-CN"/>
        </w:rPr>
        <w:t>戴德生派出的大多数宣教士是工人阶层的平信徒</w:t>
      </w:r>
      <w:r w:rsidR="002C3C55">
        <w:rPr>
          <w:rStyle w:val="FootnoteReference"/>
          <w:lang w:eastAsia="zh-CN"/>
        </w:rPr>
        <w:footnoteReference w:id="44"/>
      </w:r>
      <w:r w:rsidRPr="003C2996">
        <w:rPr>
          <w:rFonts w:hint="eastAsia"/>
          <w:lang w:eastAsia="zh-CN"/>
        </w:rPr>
        <w:t>，而不是被授予圣职的神职人员</w:t>
      </w:r>
      <w:r w:rsidR="002C3C55">
        <w:rPr>
          <w:rStyle w:val="FootnoteReference"/>
          <w:lang w:eastAsia="zh-CN"/>
        </w:rPr>
        <w:footnoteReference w:id="45"/>
      </w:r>
      <w:r w:rsidRPr="003C2996">
        <w:rPr>
          <w:rFonts w:hint="eastAsia"/>
          <w:lang w:eastAsia="zh-CN"/>
        </w:rPr>
        <w:t>。</w:t>
      </w:r>
      <w:r w:rsidR="002C3C55">
        <w:rPr>
          <w:rFonts w:hint="eastAsia"/>
          <w:lang w:eastAsia="zh-CN"/>
        </w:rPr>
        <w:t>第三，</w:t>
      </w:r>
      <w:r w:rsidRPr="003C2996">
        <w:rPr>
          <w:rFonts w:hint="eastAsia"/>
          <w:lang w:eastAsia="zh-CN"/>
        </w:rPr>
        <w:t>戴德生坚持把穿本土化的服装</w:t>
      </w:r>
      <w:r w:rsidR="002C3C55">
        <w:rPr>
          <w:rStyle w:val="FootnoteReference"/>
          <w:lang w:eastAsia="zh-CN"/>
        </w:rPr>
        <w:footnoteReference w:id="46"/>
      </w:r>
      <w:r w:rsidRPr="003C2996">
        <w:rPr>
          <w:rFonts w:hint="eastAsia"/>
          <w:lang w:eastAsia="zh-CN"/>
        </w:rPr>
        <w:t>作为</w:t>
      </w:r>
      <w:r w:rsidR="002C3C55">
        <w:rPr>
          <w:rFonts w:hint="eastAsia"/>
          <w:lang w:eastAsia="zh-CN"/>
        </w:rPr>
        <w:t>宣教基本</w:t>
      </w:r>
      <w:r w:rsidRPr="003C2996">
        <w:rPr>
          <w:rFonts w:hint="eastAsia"/>
          <w:lang w:eastAsia="zh-CN"/>
        </w:rPr>
        <w:t>原则</w:t>
      </w:r>
      <w:r w:rsidR="002C3C55">
        <w:rPr>
          <w:rStyle w:val="FootnoteReference"/>
          <w:lang w:eastAsia="zh-CN"/>
        </w:rPr>
        <w:footnoteReference w:id="47"/>
      </w:r>
      <w:r w:rsidRPr="003C2996">
        <w:rPr>
          <w:rFonts w:hint="eastAsia"/>
          <w:lang w:eastAsia="zh-CN"/>
        </w:rPr>
        <w:t>。</w:t>
      </w:r>
      <w:r w:rsidR="002C3C55">
        <w:rPr>
          <w:rFonts w:hint="eastAsia"/>
          <w:lang w:eastAsia="zh-CN"/>
        </w:rPr>
        <w:t>第四，</w:t>
      </w:r>
      <w:r w:rsidRPr="003C2996">
        <w:rPr>
          <w:rFonts w:hint="eastAsia"/>
          <w:lang w:eastAsia="zh-CN"/>
        </w:rPr>
        <w:t>戴德生接受大量单身女性成为宣教士，并且差派她们中的一些人</w:t>
      </w:r>
      <w:r w:rsidR="002C3C55">
        <w:rPr>
          <w:rFonts w:hint="eastAsia"/>
          <w:lang w:eastAsia="zh-CN"/>
        </w:rPr>
        <w:t>去</w:t>
      </w:r>
      <w:r w:rsidRPr="003C2996">
        <w:rPr>
          <w:rFonts w:hint="eastAsia"/>
          <w:lang w:eastAsia="zh-CN"/>
        </w:rPr>
        <w:t>乡村</w:t>
      </w:r>
      <w:r w:rsidR="002C3C55">
        <w:rPr>
          <w:rFonts w:hint="eastAsia"/>
          <w:lang w:eastAsia="zh-CN"/>
        </w:rPr>
        <w:t>单独</w:t>
      </w:r>
      <w:r w:rsidRPr="003C2996">
        <w:rPr>
          <w:rFonts w:hint="eastAsia"/>
          <w:lang w:eastAsia="zh-CN"/>
        </w:rPr>
        <w:t>服侍</w:t>
      </w:r>
      <w:r w:rsidR="002C3C55">
        <w:rPr>
          <w:rStyle w:val="FootnoteReference"/>
          <w:lang w:eastAsia="zh-CN"/>
        </w:rPr>
        <w:footnoteReference w:id="48"/>
      </w:r>
      <w:r w:rsidRPr="003C2996">
        <w:rPr>
          <w:rFonts w:hint="eastAsia"/>
          <w:lang w:eastAsia="zh-CN"/>
        </w:rPr>
        <w:t>。</w:t>
      </w:r>
    </w:p>
    <w:p w14:paraId="7C935B40" w14:textId="46271A7F" w:rsidR="003C2996" w:rsidRPr="003C2996" w:rsidRDefault="003C2996" w:rsidP="003C2996">
      <w:pPr>
        <w:rPr>
          <w:lang w:eastAsia="zh-CN"/>
        </w:rPr>
      </w:pPr>
      <w:r w:rsidRPr="003C2996">
        <w:rPr>
          <w:rFonts w:hint="eastAsia"/>
          <w:lang w:eastAsia="zh-CN"/>
        </w:rPr>
        <w:t>在内地会创建后的几年里，戴德生透过写文章和四处演讲，努力唤起宣教士们去中国内地传福音的热情</w:t>
      </w:r>
      <w:r w:rsidR="002C3C55">
        <w:rPr>
          <w:rStyle w:val="FootnoteReference"/>
          <w:lang w:eastAsia="zh-CN"/>
        </w:rPr>
        <w:footnoteReference w:id="49"/>
      </w:r>
      <w:r w:rsidRPr="003C2996">
        <w:rPr>
          <w:rFonts w:hint="eastAsia"/>
          <w:lang w:eastAsia="zh-CN"/>
        </w:rPr>
        <w:t>。到</w:t>
      </w:r>
      <w:r w:rsidRPr="003C2996">
        <w:rPr>
          <w:rFonts w:hint="eastAsia"/>
          <w:lang w:eastAsia="zh-CN"/>
        </w:rPr>
        <w:t>1880</w:t>
      </w:r>
      <w:r w:rsidRPr="003C2996">
        <w:rPr>
          <w:rFonts w:hint="eastAsia"/>
          <w:lang w:eastAsia="zh-CN"/>
        </w:rPr>
        <w:t>年，内地会的中国宣教士数量</w:t>
      </w:r>
      <w:r w:rsidR="002C3C55">
        <w:rPr>
          <w:rFonts w:hint="eastAsia"/>
          <w:lang w:eastAsia="zh-CN"/>
        </w:rPr>
        <w:t>已经</w:t>
      </w:r>
      <w:r w:rsidRPr="003C2996">
        <w:rPr>
          <w:rFonts w:hint="eastAsia"/>
          <w:lang w:eastAsia="zh-CN"/>
        </w:rPr>
        <w:t>超过</w:t>
      </w:r>
      <w:r w:rsidR="002C3C55">
        <w:rPr>
          <w:rFonts w:hint="eastAsia"/>
          <w:lang w:eastAsia="zh-CN"/>
        </w:rPr>
        <w:t>了</w:t>
      </w:r>
      <w:r w:rsidRPr="003C2996">
        <w:rPr>
          <w:rFonts w:hint="eastAsia"/>
          <w:lang w:eastAsia="zh-CN"/>
        </w:rPr>
        <w:t>其它</w:t>
      </w:r>
      <w:r w:rsidR="002C3C55">
        <w:rPr>
          <w:rFonts w:hint="eastAsia"/>
          <w:lang w:eastAsia="zh-CN"/>
        </w:rPr>
        <w:t>西方</w:t>
      </w:r>
      <w:r w:rsidRPr="003C2996">
        <w:rPr>
          <w:rFonts w:hint="eastAsia"/>
          <w:lang w:eastAsia="zh-CN"/>
        </w:rPr>
        <w:t>差会宣教士的</w:t>
      </w:r>
      <w:r w:rsidR="002C3C55">
        <w:rPr>
          <w:rFonts w:hint="eastAsia"/>
          <w:lang w:eastAsia="zh-CN"/>
        </w:rPr>
        <w:t>总</w:t>
      </w:r>
      <w:r w:rsidRPr="003C2996">
        <w:rPr>
          <w:rFonts w:hint="eastAsia"/>
          <w:lang w:eastAsia="zh-CN"/>
        </w:rPr>
        <w:t>数（</w:t>
      </w:r>
      <w:r w:rsidRPr="003C2996">
        <w:rPr>
          <w:rFonts w:hint="eastAsia"/>
          <w:lang w:eastAsia="zh-CN"/>
        </w:rPr>
        <w:t xml:space="preserve">100 </w:t>
      </w:r>
      <w:r w:rsidRPr="003C2996">
        <w:rPr>
          <w:rFonts w:hint="eastAsia"/>
          <w:lang w:eastAsia="zh-CN"/>
        </w:rPr>
        <w:t>比</w:t>
      </w:r>
      <w:r w:rsidRPr="003C2996">
        <w:rPr>
          <w:rFonts w:hint="eastAsia"/>
          <w:lang w:eastAsia="zh-CN"/>
        </w:rPr>
        <w:t xml:space="preserve"> 96</w:t>
      </w:r>
      <w:r w:rsidRPr="003C2996">
        <w:rPr>
          <w:rFonts w:hint="eastAsia"/>
          <w:lang w:eastAsia="zh-CN"/>
        </w:rPr>
        <w:t>）</w:t>
      </w:r>
      <w:r w:rsidR="002C3C55">
        <w:rPr>
          <w:rStyle w:val="FootnoteReference"/>
          <w:lang w:eastAsia="zh-CN"/>
        </w:rPr>
        <w:footnoteReference w:id="50"/>
      </w:r>
      <w:r w:rsidRPr="003C2996">
        <w:rPr>
          <w:rFonts w:hint="eastAsia"/>
          <w:lang w:eastAsia="zh-CN"/>
        </w:rPr>
        <w:t>。到</w:t>
      </w:r>
      <w:r w:rsidRPr="003C2996">
        <w:rPr>
          <w:rFonts w:hint="eastAsia"/>
          <w:lang w:eastAsia="zh-CN"/>
        </w:rPr>
        <w:t>1893</w:t>
      </w:r>
      <w:r w:rsidRPr="003C2996">
        <w:rPr>
          <w:rFonts w:hint="eastAsia"/>
          <w:lang w:eastAsia="zh-CN"/>
        </w:rPr>
        <w:t>年，中国已经有</w:t>
      </w:r>
      <w:r w:rsidRPr="003C2996">
        <w:rPr>
          <w:rFonts w:hint="eastAsia"/>
          <w:lang w:eastAsia="zh-CN"/>
        </w:rPr>
        <w:t>1323</w:t>
      </w:r>
      <w:r w:rsidRPr="003C2996">
        <w:rPr>
          <w:rFonts w:hint="eastAsia"/>
          <w:lang w:eastAsia="zh-CN"/>
        </w:rPr>
        <w:t>名新教宣教士</w:t>
      </w:r>
      <w:r w:rsidR="002C3C55">
        <w:rPr>
          <w:rStyle w:val="FootnoteReference"/>
          <w:lang w:eastAsia="zh-CN"/>
        </w:rPr>
        <w:footnoteReference w:id="51"/>
      </w:r>
      <w:r w:rsidRPr="003C2996">
        <w:rPr>
          <w:rFonts w:hint="eastAsia"/>
          <w:lang w:eastAsia="zh-CN"/>
        </w:rPr>
        <w:t>。尽管戴德生承受着痛苦的健康问题</w:t>
      </w:r>
      <w:r w:rsidR="002C3C55">
        <w:rPr>
          <w:rStyle w:val="FootnoteReference"/>
          <w:lang w:eastAsia="zh-CN"/>
        </w:rPr>
        <w:footnoteReference w:id="52"/>
      </w:r>
      <w:r w:rsidRPr="003C2996">
        <w:rPr>
          <w:rFonts w:hint="eastAsia"/>
          <w:lang w:eastAsia="zh-CN"/>
        </w:rPr>
        <w:t>，但他的大部分时间仍是在中国度过的。在他生命的最后几天，已返回英国的戴德生健康状况每况愈下，他坚持最后一次回到中国。</w:t>
      </w:r>
      <w:r w:rsidRPr="003C2996">
        <w:rPr>
          <w:rFonts w:hint="eastAsia"/>
          <w:lang w:eastAsia="zh-CN"/>
        </w:rPr>
        <w:t>1905</w:t>
      </w:r>
      <w:r w:rsidRPr="003C2996">
        <w:rPr>
          <w:rFonts w:hint="eastAsia"/>
          <w:lang w:eastAsia="zh-CN"/>
        </w:rPr>
        <w:t>年</w:t>
      </w:r>
      <w:r w:rsidRPr="003C2996">
        <w:rPr>
          <w:rFonts w:hint="eastAsia"/>
          <w:lang w:eastAsia="zh-CN"/>
        </w:rPr>
        <w:t>6</w:t>
      </w:r>
      <w:r w:rsidRPr="003C2996">
        <w:rPr>
          <w:rFonts w:hint="eastAsia"/>
          <w:lang w:eastAsia="zh-CN"/>
        </w:rPr>
        <w:t>月</w:t>
      </w:r>
      <w:r w:rsidRPr="003C2996">
        <w:rPr>
          <w:rFonts w:hint="eastAsia"/>
          <w:lang w:eastAsia="zh-CN"/>
        </w:rPr>
        <w:t>1</w:t>
      </w:r>
      <w:r w:rsidRPr="003C2996">
        <w:rPr>
          <w:rFonts w:hint="eastAsia"/>
          <w:lang w:eastAsia="zh-CN"/>
        </w:rPr>
        <w:t>号，经历过两次丧偶、</w:t>
      </w:r>
      <w:r w:rsidRPr="003C2996">
        <w:rPr>
          <w:rFonts w:hint="eastAsia"/>
          <w:lang w:eastAsia="zh-CN"/>
        </w:rPr>
        <w:t>73</w:t>
      </w:r>
      <w:r w:rsidRPr="003C2996">
        <w:rPr>
          <w:rFonts w:hint="eastAsia"/>
          <w:lang w:eastAsia="zh-CN"/>
        </w:rPr>
        <w:t>岁高龄的戴德生抵达中国长沙。两天后他与世长辞</w:t>
      </w:r>
      <w:r w:rsidR="002C3C55">
        <w:rPr>
          <w:rStyle w:val="FootnoteReference"/>
          <w:lang w:eastAsia="zh-CN"/>
        </w:rPr>
        <w:footnoteReference w:id="53"/>
      </w:r>
      <w:r w:rsidRPr="003C2996">
        <w:rPr>
          <w:rFonts w:hint="eastAsia"/>
          <w:lang w:eastAsia="zh-CN"/>
        </w:rPr>
        <w:t>。</w:t>
      </w:r>
    </w:p>
    <w:p w14:paraId="3C209A8A" w14:textId="6C60A403" w:rsidR="003C2996" w:rsidRPr="003C2996" w:rsidRDefault="003C2996" w:rsidP="00992238">
      <w:pPr>
        <w:pStyle w:val="Heading2"/>
        <w:rPr>
          <w:lang w:val="en" w:eastAsia="zh-CN"/>
        </w:rPr>
      </w:pPr>
      <w:bookmarkStart w:id="10" w:name="_i9dulm1bwuzu" w:colFirst="0" w:colLast="0"/>
      <w:bookmarkStart w:id="11" w:name="_Hlk46824280"/>
      <w:bookmarkEnd w:id="10"/>
      <w:r w:rsidRPr="003C2996">
        <w:rPr>
          <w:rFonts w:hint="eastAsia"/>
          <w:lang w:eastAsia="zh-CN"/>
        </w:rPr>
        <w:t>义和团</w:t>
      </w:r>
      <w:r w:rsidR="002C3C55">
        <w:rPr>
          <w:rFonts w:hint="eastAsia"/>
          <w:lang w:eastAsia="zh-CN"/>
        </w:rPr>
        <w:t>之乱</w:t>
      </w:r>
    </w:p>
    <w:bookmarkEnd w:id="11"/>
    <w:p w14:paraId="49D57660" w14:textId="4070E282" w:rsidR="003C2996" w:rsidRPr="003C2996" w:rsidRDefault="003C2996" w:rsidP="003C2996">
      <w:pPr>
        <w:rPr>
          <w:lang w:eastAsia="zh-CN"/>
        </w:rPr>
      </w:pPr>
      <w:r w:rsidRPr="003C2996">
        <w:rPr>
          <w:lang w:eastAsia="zh-CN"/>
        </w:rPr>
        <w:t>19</w:t>
      </w:r>
      <w:r w:rsidRPr="003C2996">
        <w:rPr>
          <w:rFonts w:hint="eastAsia"/>
          <w:lang w:eastAsia="zh-CN"/>
        </w:rPr>
        <w:t>世纪末，随着来华宣教士数量的激增，许多中国人逐渐视本土基督徒信教为一种危险的、不爱国的、受外国宗教势力影响的行为</w:t>
      </w:r>
      <w:r w:rsidR="002C3C55">
        <w:rPr>
          <w:rStyle w:val="FootnoteReference"/>
          <w:lang w:eastAsia="zh-CN"/>
        </w:rPr>
        <w:footnoteReference w:id="54"/>
      </w:r>
      <w:r w:rsidRPr="003C2996">
        <w:rPr>
          <w:rFonts w:hint="eastAsia"/>
          <w:lang w:eastAsia="zh-CN"/>
        </w:rPr>
        <w:t>。到</w:t>
      </w:r>
      <w:r w:rsidRPr="003C2996">
        <w:rPr>
          <w:rFonts w:hint="eastAsia"/>
          <w:lang w:eastAsia="zh-CN"/>
        </w:rPr>
        <w:t>1899</w:t>
      </w:r>
      <w:r w:rsidRPr="003C2996">
        <w:rPr>
          <w:rFonts w:hint="eastAsia"/>
          <w:lang w:eastAsia="zh-CN"/>
        </w:rPr>
        <w:t>年初，西方人开始注意到当地人</w:t>
      </w:r>
      <w:r w:rsidR="002C3C55">
        <w:rPr>
          <w:rFonts w:hint="eastAsia"/>
          <w:lang w:eastAsia="zh-CN"/>
        </w:rPr>
        <w:t>会</w:t>
      </w:r>
      <w:r w:rsidRPr="003C2996">
        <w:rPr>
          <w:rFonts w:hint="eastAsia"/>
          <w:lang w:eastAsia="zh-CN"/>
        </w:rPr>
        <w:t>成群结对地破坏城镇、</w:t>
      </w:r>
      <w:r w:rsidR="002C3C55">
        <w:rPr>
          <w:rFonts w:hint="eastAsia"/>
          <w:lang w:eastAsia="zh-CN"/>
        </w:rPr>
        <w:lastRenderedPageBreak/>
        <w:t>并</w:t>
      </w:r>
      <w:r w:rsidRPr="003C2996">
        <w:rPr>
          <w:rFonts w:hint="eastAsia"/>
          <w:lang w:eastAsia="zh-CN"/>
        </w:rPr>
        <w:t>高举“扶清灭洋”的口号</w:t>
      </w:r>
      <w:r w:rsidR="002C3C55">
        <w:rPr>
          <w:rStyle w:val="FootnoteReference"/>
          <w:lang w:eastAsia="zh-CN"/>
        </w:rPr>
        <w:footnoteReference w:id="55"/>
      </w:r>
      <w:r w:rsidRPr="003C2996">
        <w:rPr>
          <w:rFonts w:hint="eastAsia"/>
          <w:lang w:eastAsia="zh-CN"/>
        </w:rPr>
        <w:t>。许多号称是义和团的人身上挂着横幅，上面写着“奉皇帝命令消灭基督教”</w:t>
      </w:r>
      <w:r w:rsidR="002C3C55">
        <w:rPr>
          <w:rStyle w:val="FootnoteReference"/>
          <w:lang w:eastAsia="zh-CN"/>
        </w:rPr>
        <w:footnoteReference w:id="56"/>
      </w:r>
      <w:r w:rsidRPr="003C2996">
        <w:rPr>
          <w:rFonts w:hint="eastAsia"/>
          <w:lang w:eastAsia="zh-CN"/>
        </w:rPr>
        <w:t>。随着暴乱的蔓延，外国宣教士和中国基督徒都成了义和团</w:t>
      </w:r>
      <w:r w:rsidR="002C3C55">
        <w:rPr>
          <w:rFonts w:hint="eastAsia"/>
          <w:lang w:eastAsia="zh-CN"/>
        </w:rPr>
        <w:t>暴力</w:t>
      </w:r>
      <w:r w:rsidRPr="003C2996">
        <w:rPr>
          <w:rFonts w:hint="eastAsia"/>
          <w:lang w:eastAsia="zh-CN"/>
        </w:rPr>
        <w:t>攻击的对象</w:t>
      </w:r>
      <w:r w:rsidR="002C3C55">
        <w:rPr>
          <w:rStyle w:val="FootnoteReference"/>
          <w:lang w:eastAsia="zh-CN"/>
        </w:rPr>
        <w:footnoteReference w:id="57"/>
      </w:r>
      <w:r w:rsidRPr="003C2996">
        <w:rPr>
          <w:rFonts w:hint="eastAsia"/>
          <w:lang w:eastAsia="zh-CN"/>
        </w:rPr>
        <w:t>。无论是在西方还是在中国，许多人都因这场暴乱而指责宣教士</w:t>
      </w:r>
      <w:r w:rsidR="002C3C55">
        <w:rPr>
          <w:rStyle w:val="FootnoteReference"/>
          <w:lang w:eastAsia="zh-CN"/>
        </w:rPr>
        <w:footnoteReference w:id="58"/>
      </w:r>
      <w:r w:rsidRPr="003C2996">
        <w:rPr>
          <w:rFonts w:hint="eastAsia"/>
          <w:lang w:eastAsia="zh-CN"/>
        </w:rPr>
        <w:t>。</w:t>
      </w:r>
      <w:r w:rsidR="002C3C55">
        <w:rPr>
          <w:rFonts w:hint="eastAsia"/>
          <w:lang w:eastAsia="zh-CN"/>
        </w:rPr>
        <w:t>最终，八国联军</w:t>
      </w:r>
      <w:r w:rsidRPr="003C2996">
        <w:rPr>
          <w:rFonts w:hint="eastAsia"/>
          <w:lang w:eastAsia="zh-CN"/>
        </w:rPr>
        <w:t>镇压了</w:t>
      </w:r>
      <w:r w:rsidR="002C3C55">
        <w:rPr>
          <w:rFonts w:hint="eastAsia"/>
          <w:lang w:eastAsia="zh-CN"/>
        </w:rPr>
        <w:t>这场</w:t>
      </w:r>
      <w:r w:rsidRPr="003C2996">
        <w:rPr>
          <w:rFonts w:hint="eastAsia"/>
          <w:lang w:eastAsia="zh-CN"/>
        </w:rPr>
        <w:t>叛乱并于</w:t>
      </w:r>
      <w:r w:rsidRPr="003C2996">
        <w:rPr>
          <w:rFonts w:hint="eastAsia"/>
          <w:lang w:eastAsia="zh-CN"/>
        </w:rPr>
        <w:t>1901</w:t>
      </w:r>
      <w:r w:rsidRPr="003C2996">
        <w:rPr>
          <w:rFonts w:hint="eastAsia"/>
          <w:lang w:eastAsia="zh-CN"/>
        </w:rPr>
        <w:t>年</w:t>
      </w:r>
      <w:r w:rsidRPr="003C2996">
        <w:rPr>
          <w:rFonts w:hint="eastAsia"/>
          <w:lang w:eastAsia="zh-CN"/>
        </w:rPr>
        <w:t>9</w:t>
      </w:r>
      <w:r w:rsidRPr="003C2996">
        <w:rPr>
          <w:rFonts w:hint="eastAsia"/>
          <w:lang w:eastAsia="zh-CN"/>
        </w:rPr>
        <w:t>月签订了一份条约，但在此之前义和团杀害了约</w:t>
      </w:r>
      <w:r w:rsidRPr="003C2996">
        <w:rPr>
          <w:rFonts w:hint="eastAsia"/>
          <w:lang w:eastAsia="zh-CN"/>
        </w:rPr>
        <w:t>3</w:t>
      </w:r>
      <w:r w:rsidRPr="003C2996">
        <w:rPr>
          <w:rFonts w:hint="eastAsia"/>
          <w:lang w:eastAsia="zh-CN"/>
        </w:rPr>
        <w:t>万名中国基督徒和</w:t>
      </w:r>
      <w:r w:rsidRPr="003C2996">
        <w:rPr>
          <w:rFonts w:hint="eastAsia"/>
          <w:lang w:eastAsia="zh-CN"/>
        </w:rPr>
        <w:t>200</w:t>
      </w:r>
      <w:r w:rsidRPr="003C2996">
        <w:rPr>
          <w:rFonts w:hint="eastAsia"/>
          <w:lang w:eastAsia="zh-CN"/>
        </w:rPr>
        <w:t>位外国宣教士</w:t>
      </w:r>
      <w:r w:rsidR="002C3C55">
        <w:rPr>
          <w:rStyle w:val="FootnoteReference"/>
          <w:lang w:eastAsia="zh-CN"/>
        </w:rPr>
        <w:footnoteReference w:id="59"/>
      </w:r>
      <w:r w:rsidRPr="003C2996">
        <w:rPr>
          <w:rFonts w:hint="eastAsia"/>
          <w:lang w:eastAsia="zh-CN"/>
        </w:rPr>
        <w:t>，遇害</w:t>
      </w:r>
      <w:r w:rsidR="002C3C55">
        <w:rPr>
          <w:rFonts w:hint="eastAsia"/>
          <w:lang w:eastAsia="zh-CN"/>
        </w:rPr>
        <w:t>者</w:t>
      </w:r>
      <w:r w:rsidRPr="003C2996">
        <w:rPr>
          <w:rFonts w:hint="eastAsia"/>
          <w:lang w:eastAsia="zh-CN"/>
        </w:rPr>
        <w:t>以天主教信徒居多</w:t>
      </w:r>
      <w:r w:rsidR="002C3C55">
        <w:rPr>
          <w:rStyle w:val="FootnoteReference"/>
          <w:lang w:eastAsia="zh-CN"/>
        </w:rPr>
        <w:footnoteReference w:id="60"/>
      </w:r>
      <w:r w:rsidRPr="003C2996">
        <w:rPr>
          <w:rFonts w:hint="eastAsia"/>
          <w:lang w:eastAsia="zh-CN"/>
        </w:rPr>
        <w:t>。可悲的是，义和团</w:t>
      </w:r>
      <w:r w:rsidR="008E4793">
        <w:rPr>
          <w:rFonts w:hint="eastAsia"/>
          <w:lang w:eastAsia="zh-CN"/>
        </w:rPr>
        <w:t>之乱</w:t>
      </w:r>
      <w:r w:rsidRPr="003C2996">
        <w:rPr>
          <w:rFonts w:hint="eastAsia"/>
          <w:lang w:eastAsia="zh-CN"/>
        </w:rPr>
        <w:t>只是</w:t>
      </w:r>
      <w:r w:rsidR="002C3C55">
        <w:rPr>
          <w:rFonts w:hint="eastAsia"/>
          <w:lang w:eastAsia="zh-CN"/>
        </w:rPr>
        <w:t>中国民众</w:t>
      </w:r>
      <w:r w:rsidRPr="003C2996">
        <w:rPr>
          <w:rFonts w:hint="eastAsia"/>
          <w:lang w:eastAsia="zh-CN"/>
        </w:rPr>
        <w:t>反对基督教的一个微小而凶恶的预兆，半个世纪后，在毛泽东的领导下，这个预兆将得以完全实现。</w:t>
      </w:r>
    </w:p>
    <w:p w14:paraId="1D2B1D57" w14:textId="77777777" w:rsidR="003C2996" w:rsidRPr="003C2996" w:rsidRDefault="003C2996" w:rsidP="00992238">
      <w:pPr>
        <w:pStyle w:val="Heading2"/>
        <w:rPr>
          <w:lang w:val="en" w:eastAsia="zh-CN"/>
        </w:rPr>
      </w:pPr>
      <w:bookmarkStart w:id="12" w:name="_ki21kj99zzmb" w:colFirst="0" w:colLast="0"/>
      <w:bookmarkStart w:id="13" w:name="_Hlk46824292"/>
      <w:bookmarkEnd w:id="12"/>
      <w:r w:rsidRPr="003C2996">
        <w:rPr>
          <w:rFonts w:hint="eastAsia"/>
          <w:lang w:eastAsia="zh-CN"/>
        </w:rPr>
        <w:t>本土基督教运动：宋尚节和倪柝声</w:t>
      </w:r>
    </w:p>
    <w:bookmarkEnd w:id="13"/>
    <w:p w14:paraId="1A114BA1" w14:textId="5BDFD1A4" w:rsidR="003C2996" w:rsidRPr="003C2996" w:rsidRDefault="003C2996" w:rsidP="003C2996">
      <w:pPr>
        <w:rPr>
          <w:lang w:eastAsia="zh-CN"/>
        </w:rPr>
      </w:pPr>
      <w:r w:rsidRPr="003C2996">
        <w:rPr>
          <w:rFonts w:hint="eastAsia"/>
          <w:lang w:eastAsia="zh-CN"/>
        </w:rPr>
        <w:t>就在西方</w:t>
      </w:r>
      <w:r w:rsidR="008E4793">
        <w:rPr>
          <w:rFonts w:hint="eastAsia"/>
          <w:lang w:eastAsia="zh-CN"/>
        </w:rPr>
        <w:t>军队因</w:t>
      </w:r>
      <w:r w:rsidRPr="003C2996">
        <w:rPr>
          <w:rFonts w:hint="eastAsia"/>
          <w:lang w:eastAsia="zh-CN"/>
        </w:rPr>
        <w:t>结束义和团</w:t>
      </w:r>
      <w:r w:rsidR="008E4793">
        <w:rPr>
          <w:rFonts w:hint="eastAsia"/>
          <w:lang w:eastAsia="zh-CN"/>
        </w:rPr>
        <w:t>之乱</w:t>
      </w:r>
      <w:r w:rsidRPr="003C2996">
        <w:rPr>
          <w:rFonts w:hint="eastAsia"/>
          <w:lang w:eastAsia="zh-CN"/>
        </w:rPr>
        <w:t>而缔结条约的当月，在中国诞生了一个人，他将成为中国福音布道事工最具活力的人物</w:t>
      </w:r>
      <w:r w:rsidR="008E4793">
        <w:rPr>
          <w:rStyle w:val="FootnoteReference"/>
          <w:lang w:eastAsia="zh-CN"/>
        </w:rPr>
        <w:footnoteReference w:id="61"/>
      </w:r>
      <w:r w:rsidRPr="003C2996">
        <w:rPr>
          <w:rFonts w:hint="eastAsia"/>
          <w:lang w:eastAsia="zh-CN"/>
        </w:rPr>
        <w:t>，也是二十世纪中国最伟大的布道家</w:t>
      </w:r>
      <w:r w:rsidR="008E4793">
        <w:rPr>
          <w:rStyle w:val="FootnoteReference"/>
          <w:lang w:eastAsia="zh-CN"/>
        </w:rPr>
        <w:footnoteReference w:id="62"/>
      </w:r>
      <w:r w:rsidRPr="003C2996">
        <w:rPr>
          <w:rFonts w:hint="eastAsia"/>
          <w:lang w:eastAsia="zh-CN"/>
        </w:rPr>
        <w:t>。此人就是宋尚节，</w:t>
      </w:r>
      <w:r w:rsidR="008E4793">
        <w:rPr>
          <w:rFonts w:hint="eastAsia"/>
          <w:lang w:eastAsia="zh-CN"/>
        </w:rPr>
        <w:t>他</w:t>
      </w:r>
      <w:r w:rsidRPr="003C2996">
        <w:rPr>
          <w:rFonts w:hint="eastAsia"/>
          <w:lang w:eastAsia="zh-CN"/>
        </w:rPr>
        <w:t>于</w:t>
      </w:r>
      <w:r w:rsidRPr="003C2996">
        <w:rPr>
          <w:rFonts w:hint="eastAsia"/>
          <w:lang w:eastAsia="zh-CN"/>
        </w:rPr>
        <w:t>1901</w:t>
      </w:r>
      <w:r w:rsidRPr="003C2996">
        <w:rPr>
          <w:rFonts w:hint="eastAsia"/>
          <w:lang w:eastAsia="zh-CN"/>
        </w:rPr>
        <w:t>年出生于中国福建。在学术上很有天赋的宋尚节前往美国深造，并于</w:t>
      </w:r>
      <w:r w:rsidRPr="003C2996">
        <w:rPr>
          <w:rFonts w:hint="eastAsia"/>
          <w:lang w:eastAsia="zh-CN"/>
        </w:rPr>
        <w:t>1926</w:t>
      </w:r>
      <w:r w:rsidRPr="003C2996">
        <w:rPr>
          <w:rFonts w:hint="eastAsia"/>
          <w:lang w:eastAsia="zh-CN"/>
        </w:rPr>
        <w:t>年在俄亥俄州立大学获得化学博士学位</w:t>
      </w:r>
      <w:r w:rsidR="008E4793">
        <w:rPr>
          <w:rStyle w:val="FootnoteReference"/>
          <w:lang w:eastAsia="zh-CN"/>
        </w:rPr>
        <w:footnoteReference w:id="63"/>
      </w:r>
      <w:r w:rsidRPr="003C2996">
        <w:rPr>
          <w:rFonts w:hint="eastAsia"/>
          <w:lang w:eastAsia="zh-CN"/>
        </w:rPr>
        <w:t>。毕业后，他渴望将来在中国做福音工作，所以他以全额奖学金去了纽约协和神学院</w:t>
      </w:r>
      <w:r w:rsidR="008E4793">
        <w:rPr>
          <w:rStyle w:val="FootnoteReference"/>
          <w:lang w:eastAsia="zh-CN"/>
        </w:rPr>
        <w:footnoteReference w:id="64"/>
      </w:r>
      <w:r w:rsidRPr="003C2996">
        <w:rPr>
          <w:rFonts w:hint="eastAsia"/>
          <w:lang w:eastAsia="zh-CN"/>
        </w:rPr>
        <w:t>。在神学院老师和</w:t>
      </w:r>
      <w:r w:rsidR="008E4793" w:rsidRPr="008E4793">
        <w:rPr>
          <w:rFonts w:hint="eastAsia"/>
          <w:lang w:eastAsia="zh-CN"/>
        </w:rPr>
        <w:t>富司迪</w:t>
      </w:r>
      <w:r w:rsidRPr="003C2996">
        <w:rPr>
          <w:rFonts w:hint="eastAsia"/>
          <w:lang w:eastAsia="zh-CN"/>
        </w:rPr>
        <w:t>（</w:t>
      </w:r>
      <w:r w:rsidRPr="003C2996">
        <w:rPr>
          <w:lang w:val="en" w:eastAsia="zh-CN"/>
        </w:rPr>
        <w:t>Harry Emerson Fosdick</w:t>
      </w:r>
      <w:r w:rsidRPr="003C2996">
        <w:rPr>
          <w:rFonts w:hint="eastAsia"/>
          <w:lang w:eastAsia="zh-CN"/>
        </w:rPr>
        <w:t>）的影响下，宋尚节开始接受新派</w:t>
      </w:r>
      <w:r w:rsidR="008E4793">
        <w:rPr>
          <w:rFonts w:hint="eastAsia"/>
          <w:lang w:eastAsia="zh-CN"/>
        </w:rPr>
        <w:t>（自由派）</w:t>
      </w:r>
      <w:r w:rsidRPr="003C2996">
        <w:rPr>
          <w:rFonts w:hint="eastAsia"/>
          <w:lang w:eastAsia="zh-CN"/>
        </w:rPr>
        <w:t>神学的观点</w:t>
      </w:r>
      <w:r w:rsidR="008E4793">
        <w:rPr>
          <w:rStyle w:val="FootnoteReference"/>
          <w:lang w:eastAsia="zh-CN"/>
        </w:rPr>
        <w:footnoteReference w:id="65"/>
      </w:r>
      <w:r w:rsidRPr="003C2996">
        <w:rPr>
          <w:rFonts w:hint="eastAsia"/>
          <w:lang w:eastAsia="zh-CN"/>
        </w:rPr>
        <w:t>。宋尚节先是经历了一场情感上、心理上以及灵性上的危机，后来又参加了一个来自加利福尼亚的</w:t>
      </w:r>
      <w:r w:rsidRPr="003C2996">
        <w:rPr>
          <w:rFonts w:hint="eastAsia"/>
          <w:lang w:eastAsia="zh-CN"/>
        </w:rPr>
        <w:t>14</w:t>
      </w:r>
      <w:r w:rsidRPr="003C2996">
        <w:rPr>
          <w:rFonts w:hint="eastAsia"/>
          <w:lang w:eastAsia="zh-CN"/>
        </w:rPr>
        <w:t>岁姑娘奥尔丁·奥特利</w:t>
      </w:r>
      <w:r w:rsidR="008E4793">
        <w:rPr>
          <w:rFonts w:hint="eastAsia"/>
          <w:lang w:eastAsia="zh-CN"/>
        </w:rPr>
        <w:t>（</w:t>
      </w:r>
      <w:r w:rsidR="008E4793">
        <w:rPr>
          <w:color w:val="282D28"/>
          <w:shd w:val="clear" w:color="auto" w:fill="FFFFFF"/>
          <w:lang w:eastAsia="zh-CN"/>
        </w:rPr>
        <w:t>Uldine Utley</w:t>
      </w:r>
      <w:r w:rsidR="008E4793">
        <w:rPr>
          <w:rFonts w:hint="eastAsia"/>
          <w:lang w:eastAsia="zh-CN"/>
        </w:rPr>
        <w:t>）</w:t>
      </w:r>
      <w:r w:rsidRPr="003C2996">
        <w:rPr>
          <w:rFonts w:hint="eastAsia"/>
          <w:lang w:eastAsia="zh-CN"/>
        </w:rPr>
        <w:t>带领的奋兴会，最终他拒绝了新派神学。他烧毁了自己称之为“魔鬼之书”的</w:t>
      </w:r>
      <w:r w:rsidR="008E4793">
        <w:rPr>
          <w:rFonts w:hint="eastAsia"/>
          <w:lang w:eastAsia="zh-CN"/>
        </w:rPr>
        <w:t>那些自由派</w:t>
      </w:r>
      <w:r w:rsidRPr="003C2996">
        <w:rPr>
          <w:rFonts w:hint="eastAsia"/>
          <w:lang w:eastAsia="zh-CN"/>
        </w:rPr>
        <w:t>神学书，并当面对</w:t>
      </w:r>
      <w:r w:rsidR="008E4793" w:rsidRPr="008E4793">
        <w:rPr>
          <w:rFonts w:hint="eastAsia"/>
          <w:lang w:eastAsia="zh-CN"/>
        </w:rPr>
        <w:t>富司迪</w:t>
      </w:r>
      <w:r w:rsidRPr="003C2996">
        <w:rPr>
          <w:rFonts w:hint="eastAsia"/>
          <w:lang w:eastAsia="zh-CN"/>
        </w:rPr>
        <w:t>说</w:t>
      </w:r>
      <w:r w:rsidR="008E4793">
        <w:rPr>
          <w:rFonts w:hint="eastAsia"/>
          <w:lang w:eastAsia="zh-CN"/>
        </w:rPr>
        <w:t>：</w:t>
      </w:r>
      <w:r w:rsidRPr="003C2996">
        <w:rPr>
          <w:rFonts w:hint="eastAsia"/>
          <w:lang w:eastAsia="zh-CN"/>
        </w:rPr>
        <w:t>“你是属魔鬼的，你使我丧失了我的信仰</w:t>
      </w:r>
      <w:r w:rsidR="008E4793">
        <w:rPr>
          <w:rFonts w:hint="eastAsia"/>
          <w:lang w:eastAsia="zh-CN"/>
        </w:rPr>
        <w:t>。</w:t>
      </w:r>
      <w:r w:rsidRPr="003C2996">
        <w:rPr>
          <w:rFonts w:hint="eastAsia"/>
          <w:lang w:eastAsia="zh-CN"/>
        </w:rPr>
        <w:t>”</w:t>
      </w:r>
      <w:r w:rsidR="008E4793">
        <w:rPr>
          <w:rStyle w:val="FootnoteReference"/>
          <w:lang w:eastAsia="zh-CN"/>
        </w:rPr>
        <w:footnoteReference w:id="66"/>
      </w:r>
    </w:p>
    <w:p w14:paraId="248F1BBC" w14:textId="58B3111C" w:rsidR="003C2996" w:rsidRPr="003C2996" w:rsidRDefault="003C2996" w:rsidP="003C2996">
      <w:pPr>
        <w:rPr>
          <w:lang w:eastAsia="zh-CN"/>
        </w:rPr>
      </w:pPr>
      <w:r w:rsidRPr="003C2996">
        <w:rPr>
          <w:rFonts w:hint="eastAsia"/>
          <w:lang w:eastAsia="zh-CN"/>
        </w:rPr>
        <w:t>1927</w:t>
      </w:r>
      <w:r w:rsidRPr="003C2996">
        <w:rPr>
          <w:rFonts w:hint="eastAsia"/>
          <w:lang w:eastAsia="zh-CN"/>
        </w:rPr>
        <w:t>年</w:t>
      </w:r>
      <w:r w:rsidRPr="003C2996">
        <w:rPr>
          <w:rFonts w:hint="eastAsia"/>
          <w:lang w:eastAsia="zh-CN"/>
        </w:rPr>
        <w:t>10</w:t>
      </w:r>
      <w:r w:rsidRPr="003C2996">
        <w:rPr>
          <w:rFonts w:hint="eastAsia"/>
          <w:lang w:eastAsia="zh-CN"/>
        </w:rPr>
        <w:t>月，宋尚节回到中国</w:t>
      </w:r>
      <w:r w:rsidR="008E4793">
        <w:rPr>
          <w:rStyle w:val="FootnoteReference"/>
          <w:lang w:eastAsia="zh-CN"/>
        </w:rPr>
        <w:footnoteReference w:id="67"/>
      </w:r>
      <w:r w:rsidRPr="003C2996">
        <w:rPr>
          <w:rFonts w:hint="eastAsia"/>
          <w:lang w:eastAsia="zh-CN"/>
        </w:rPr>
        <w:t>。</w:t>
      </w:r>
      <w:r w:rsidRPr="003C2996">
        <w:rPr>
          <w:rFonts w:hint="eastAsia"/>
          <w:lang w:eastAsia="zh-CN"/>
        </w:rPr>
        <w:t>1931</w:t>
      </w:r>
      <w:r w:rsidRPr="003C2996">
        <w:rPr>
          <w:rFonts w:hint="eastAsia"/>
          <w:lang w:eastAsia="zh-CN"/>
        </w:rPr>
        <w:t>年，一位名叫计志文的中国基督徒组建了伯特利布道团并邀请宋尚节担任布道团带领</w:t>
      </w:r>
      <w:r w:rsidR="008E4793">
        <w:rPr>
          <w:rStyle w:val="FootnoteReference"/>
          <w:lang w:eastAsia="zh-CN"/>
        </w:rPr>
        <w:footnoteReference w:id="68"/>
      </w:r>
      <w:r w:rsidRPr="003C2996">
        <w:rPr>
          <w:rFonts w:hint="eastAsia"/>
          <w:lang w:eastAsia="zh-CN"/>
        </w:rPr>
        <w:t>。这群人足迹遍布中国各地，所到之处宋尚节都以强烈的情感和富有戏剧性的风格进行布道。这种风格虽然冒犯了许多宣教士较为平静的布道传统，但却吸引了无数中国人的想象力。例如，为了讲述圣经中乃缦在七次下水后麻风病得治愈的故事，宋尚节七次跳下讲台</w:t>
      </w:r>
      <w:r w:rsidR="008E4793">
        <w:rPr>
          <w:rStyle w:val="FootnoteReference"/>
          <w:lang w:eastAsia="zh-CN"/>
        </w:rPr>
        <w:footnoteReference w:id="69"/>
      </w:r>
      <w:r w:rsidRPr="003C2996">
        <w:rPr>
          <w:rFonts w:hint="eastAsia"/>
          <w:lang w:eastAsia="zh-CN"/>
        </w:rPr>
        <w:t>。宋尚节带领的伯特利布道团的奋兴会也以医治神迹和传讲信心为特色，这源自于</w:t>
      </w:r>
      <w:r w:rsidRPr="003C2996">
        <w:rPr>
          <w:rFonts w:hint="eastAsia"/>
          <w:lang w:eastAsia="zh-CN"/>
        </w:rPr>
        <w:t>20</w:t>
      </w:r>
      <w:r w:rsidRPr="003C2996">
        <w:rPr>
          <w:rFonts w:hint="eastAsia"/>
          <w:lang w:eastAsia="zh-CN"/>
        </w:rPr>
        <w:t>世纪初的美国五旬节派。例如，一位宣教医生讲述了当年一个小男孩得医治的故事。在</w:t>
      </w:r>
      <w:r w:rsidRPr="003C2996">
        <w:rPr>
          <w:rFonts w:hint="eastAsia"/>
          <w:lang w:eastAsia="zh-CN"/>
        </w:rPr>
        <w:t>1930</w:t>
      </w:r>
      <w:r w:rsidRPr="003C2996">
        <w:rPr>
          <w:rFonts w:hint="eastAsia"/>
          <w:lang w:eastAsia="zh-CN"/>
        </w:rPr>
        <w:t>年代早期的伯特利布道团服侍中，一个小男孩</w:t>
      </w:r>
      <w:r w:rsidR="008E4793">
        <w:rPr>
          <w:rFonts w:hint="eastAsia"/>
          <w:lang w:eastAsia="zh-CN"/>
        </w:rPr>
        <w:t>看起来好像得到了医治。</w:t>
      </w:r>
      <w:r w:rsidRPr="003C2996">
        <w:rPr>
          <w:rFonts w:hint="eastAsia"/>
          <w:lang w:eastAsia="zh-CN"/>
        </w:rPr>
        <w:t>他</w:t>
      </w:r>
      <w:r w:rsidR="008E4793">
        <w:rPr>
          <w:rFonts w:hint="eastAsia"/>
          <w:lang w:eastAsia="zh-CN"/>
        </w:rPr>
        <w:t>回忆说：</w:t>
      </w:r>
      <w:r w:rsidRPr="003C2996">
        <w:rPr>
          <w:rFonts w:hint="eastAsia"/>
          <w:lang w:eastAsia="zh-CN"/>
        </w:rPr>
        <w:t>“宋博士告诉他必须说‘我能看见’</w:t>
      </w:r>
      <w:r w:rsidR="008E4793">
        <w:rPr>
          <w:rFonts w:hint="eastAsia"/>
          <w:lang w:eastAsia="zh-CN"/>
        </w:rPr>
        <w:t>，</w:t>
      </w:r>
      <w:r w:rsidRPr="003C2996">
        <w:rPr>
          <w:rFonts w:hint="eastAsia"/>
          <w:lang w:eastAsia="zh-CN"/>
        </w:rPr>
        <w:t>否则就是缺乏信心，他就永远不能看见。</w:t>
      </w:r>
      <w:r w:rsidR="008E4793" w:rsidRPr="003C2996">
        <w:rPr>
          <w:rFonts w:hint="eastAsia"/>
          <w:lang w:eastAsia="zh-CN"/>
        </w:rPr>
        <w:t>”</w:t>
      </w:r>
      <w:r w:rsidR="008E4793">
        <w:rPr>
          <w:rStyle w:val="FootnoteReference"/>
          <w:lang w:eastAsia="zh-CN"/>
        </w:rPr>
        <w:footnoteReference w:id="70"/>
      </w:r>
    </w:p>
    <w:p w14:paraId="2127B046" w14:textId="556980D9" w:rsidR="003C2996" w:rsidRPr="003C2996" w:rsidRDefault="003C2996" w:rsidP="003C2996">
      <w:pPr>
        <w:rPr>
          <w:lang w:eastAsia="zh-CN"/>
        </w:rPr>
      </w:pPr>
      <w:r w:rsidRPr="003C2996">
        <w:rPr>
          <w:rFonts w:hint="eastAsia"/>
          <w:lang w:eastAsia="zh-CN"/>
        </w:rPr>
        <w:lastRenderedPageBreak/>
        <w:t>伯特利布道团的医治和福音事工越来越受欢迎。</w:t>
      </w:r>
      <w:r w:rsidRPr="003C2996">
        <w:rPr>
          <w:rFonts w:hint="eastAsia"/>
          <w:lang w:eastAsia="zh-CN"/>
        </w:rPr>
        <w:t>1931</w:t>
      </w:r>
      <w:r w:rsidRPr="003C2996">
        <w:rPr>
          <w:rFonts w:hint="eastAsia"/>
          <w:lang w:eastAsia="zh-CN"/>
        </w:rPr>
        <w:t>年到</w:t>
      </w:r>
      <w:r w:rsidRPr="003C2996">
        <w:rPr>
          <w:rFonts w:hint="eastAsia"/>
          <w:lang w:eastAsia="zh-CN"/>
        </w:rPr>
        <w:t>1935</w:t>
      </w:r>
      <w:r w:rsidRPr="003C2996">
        <w:rPr>
          <w:rFonts w:hint="eastAsia"/>
          <w:lang w:eastAsia="zh-CN"/>
        </w:rPr>
        <w:t>年间，伯特利布道团巡行了</w:t>
      </w:r>
      <w:r w:rsidRPr="003C2996">
        <w:rPr>
          <w:rFonts w:hint="eastAsia"/>
          <w:lang w:eastAsia="zh-CN"/>
        </w:rPr>
        <w:t>50000</w:t>
      </w:r>
      <w:r w:rsidRPr="003C2996">
        <w:rPr>
          <w:rFonts w:hint="eastAsia"/>
          <w:lang w:eastAsia="zh-CN"/>
        </w:rPr>
        <w:t>多英里，访问了</w:t>
      </w:r>
      <w:r w:rsidRPr="003C2996">
        <w:rPr>
          <w:rFonts w:hint="eastAsia"/>
          <w:lang w:eastAsia="zh-CN"/>
        </w:rPr>
        <w:t>133</w:t>
      </w:r>
      <w:r w:rsidRPr="003C2996">
        <w:rPr>
          <w:rFonts w:hint="eastAsia"/>
          <w:lang w:eastAsia="zh-CN"/>
        </w:rPr>
        <w:t>个城市，举行了近</w:t>
      </w:r>
      <w:r w:rsidRPr="003C2996">
        <w:rPr>
          <w:rFonts w:hint="eastAsia"/>
          <w:lang w:eastAsia="zh-CN"/>
        </w:rPr>
        <w:t>3400</w:t>
      </w:r>
      <w:r w:rsidRPr="003C2996">
        <w:rPr>
          <w:rFonts w:hint="eastAsia"/>
          <w:lang w:eastAsia="zh-CN"/>
        </w:rPr>
        <w:t>场奋兴会</w:t>
      </w:r>
      <w:r w:rsidR="008E4793">
        <w:rPr>
          <w:rStyle w:val="FootnoteReference"/>
          <w:lang w:eastAsia="zh-CN"/>
        </w:rPr>
        <w:footnoteReference w:id="71"/>
      </w:r>
      <w:r w:rsidRPr="003C2996">
        <w:rPr>
          <w:rFonts w:hint="eastAsia"/>
          <w:lang w:eastAsia="zh-CN"/>
        </w:rPr>
        <w:t>。仅一年，他们就举行了</w:t>
      </w:r>
      <w:r w:rsidRPr="003C2996">
        <w:rPr>
          <w:rFonts w:hint="eastAsia"/>
          <w:lang w:eastAsia="zh-CN"/>
        </w:rPr>
        <w:t>1199</w:t>
      </w:r>
      <w:r w:rsidRPr="003C2996">
        <w:rPr>
          <w:rFonts w:hint="eastAsia"/>
          <w:lang w:eastAsia="zh-CN"/>
        </w:rPr>
        <w:t>场奋兴会，其成员向</w:t>
      </w:r>
      <w:r w:rsidRPr="003C2996">
        <w:rPr>
          <w:rFonts w:hint="eastAsia"/>
          <w:lang w:eastAsia="zh-CN"/>
        </w:rPr>
        <w:t>13</w:t>
      </w:r>
      <w:r w:rsidRPr="003C2996">
        <w:rPr>
          <w:rFonts w:hint="eastAsia"/>
          <w:lang w:eastAsia="zh-CN"/>
        </w:rPr>
        <w:t>个省和</w:t>
      </w:r>
      <w:r w:rsidRPr="003C2996">
        <w:rPr>
          <w:rFonts w:hint="eastAsia"/>
          <w:lang w:eastAsia="zh-CN"/>
        </w:rPr>
        <w:t>65</w:t>
      </w:r>
      <w:r w:rsidRPr="003C2996">
        <w:rPr>
          <w:rFonts w:hint="eastAsia"/>
          <w:lang w:eastAsia="zh-CN"/>
        </w:rPr>
        <w:t>个城市的</w:t>
      </w:r>
      <w:r w:rsidRPr="003C2996">
        <w:rPr>
          <w:rFonts w:hint="eastAsia"/>
          <w:lang w:eastAsia="zh-CN"/>
        </w:rPr>
        <w:t>425980</w:t>
      </w:r>
      <w:r w:rsidRPr="003C2996">
        <w:rPr>
          <w:rFonts w:hint="eastAsia"/>
          <w:lang w:eastAsia="zh-CN"/>
        </w:rPr>
        <w:t>人布道，据报告有</w:t>
      </w:r>
      <w:r w:rsidRPr="003C2996">
        <w:rPr>
          <w:rFonts w:hint="eastAsia"/>
          <w:lang w:eastAsia="zh-CN"/>
        </w:rPr>
        <w:t>18118</w:t>
      </w:r>
      <w:r w:rsidRPr="003C2996">
        <w:rPr>
          <w:rFonts w:hint="eastAsia"/>
          <w:lang w:eastAsia="zh-CN"/>
        </w:rPr>
        <w:t>人信主</w:t>
      </w:r>
      <w:r w:rsidR="008E4793">
        <w:rPr>
          <w:rStyle w:val="FootnoteReference"/>
          <w:lang w:eastAsia="zh-CN"/>
        </w:rPr>
        <w:footnoteReference w:id="72"/>
      </w:r>
      <w:r w:rsidRPr="003C2996">
        <w:rPr>
          <w:rFonts w:hint="eastAsia"/>
          <w:lang w:eastAsia="zh-CN"/>
        </w:rPr>
        <w:t>。</w:t>
      </w:r>
    </w:p>
    <w:p w14:paraId="0AA23105" w14:textId="7B3FC371" w:rsidR="003C2996" w:rsidRPr="003C2996" w:rsidRDefault="003C2996" w:rsidP="003C2996">
      <w:pPr>
        <w:rPr>
          <w:lang w:eastAsia="zh-CN"/>
        </w:rPr>
      </w:pPr>
      <w:r w:rsidRPr="003C2996">
        <w:rPr>
          <w:rFonts w:hint="eastAsia"/>
          <w:lang w:eastAsia="zh-CN"/>
        </w:rPr>
        <w:t>当宋尚节和伯特利布道团通过奋兴会扩展本土基督教时，一位名叫倪柝声的中国牧师建立了</w:t>
      </w:r>
      <w:r w:rsidR="008E4793">
        <w:rPr>
          <w:rFonts w:hint="eastAsia"/>
          <w:lang w:eastAsia="zh-CN"/>
        </w:rPr>
        <w:t>“基督徒聚会处”</w:t>
      </w:r>
      <w:r w:rsidRPr="003C2996">
        <w:rPr>
          <w:rFonts w:hint="eastAsia"/>
          <w:lang w:eastAsia="zh-CN"/>
        </w:rPr>
        <w:t>，他一直呼吁信徒追求圣洁和脱离宗派制度。倪柝声于</w:t>
      </w:r>
      <w:r w:rsidRPr="003C2996">
        <w:rPr>
          <w:rFonts w:hint="eastAsia"/>
          <w:lang w:eastAsia="zh-CN"/>
        </w:rPr>
        <w:t>1903</w:t>
      </w:r>
      <w:r w:rsidRPr="003C2996">
        <w:rPr>
          <w:rFonts w:hint="eastAsia"/>
          <w:lang w:eastAsia="zh-CN"/>
        </w:rPr>
        <w:t>年出生于中国广东汕头的一个基督</w:t>
      </w:r>
      <w:r w:rsidR="008E4793">
        <w:rPr>
          <w:rFonts w:hint="eastAsia"/>
          <w:lang w:eastAsia="zh-CN"/>
        </w:rPr>
        <w:t>徒</w:t>
      </w:r>
      <w:r w:rsidRPr="003C2996">
        <w:rPr>
          <w:rFonts w:hint="eastAsia"/>
          <w:lang w:eastAsia="zh-CN"/>
        </w:rPr>
        <w:t>家庭</w:t>
      </w:r>
      <w:r w:rsidR="008E4793">
        <w:rPr>
          <w:rStyle w:val="FootnoteReference"/>
          <w:lang w:eastAsia="zh-CN"/>
        </w:rPr>
        <w:footnoteReference w:id="73"/>
      </w:r>
      <w:r w:rsidRPr="003C2996">
        <w:rPr>
          <w:rFonts w:hint="eastAsia"/>
          <w:lang w:eastAsia="zh-CN"/>
        </w:rPr>
        <w:t>。</w:t>
      </w:r>
      <w:r w:rsidRPr="003C2996">
        <w:rPr>
          <w:rFonts w:hint="eastAsia"/>
          <w:lang w:eastAsia="zh-CN"/>
        </w:rPr>
        <w:t>1920</w:t>
      </w:r>
      <w:r w:rsidRPr="003C2996">
        <w:rPr>
          <w:rFonts w:hint="eastAsia"/>
          <w:lang w:eastAsia="zh-CN"/>
        </w:rPr>
        <w:t>年，倪柝声在中国第一位家喻户晓的女布道家余慈度</w:t>
      </w:r>
      <w:r w:rsidR="008E4793">
        <w:rPr>
          <w:rFonts w:hint="eastAsia"/>
          <w:lang w:eastAsia="zh-CN"/>
        </w:rPr>
        <w:t>带领</w:t>
      </w:r>
      <w:r w:rsidRPr="003C2996">
        <w:rPr>
          <w:rFonts w:hint="eastAsia"/>
          <w:lang w:eastAsia="zh-CN"/>
        </w:rPr>
        <w:t>的布道会上信主</w:t>
      </w:r>
      <w:r w:rsidR="008E4793">
        <w:rPr>
          <w:rStyle w:val="FootnoteReference"/>
          <w:lang w:eastAsia="zh-CN"/>
        </w:rPr>
        <w:footnoteReference w:id="74"/>
      </w:r>
      <w:r w:rsidRPr="003C2996">
        <w:rPr>
          <w:rFonts w:hint="eastAsia"/>
          <w:lang w:eastAsia="zh-CN"/>
        </w:rPr>
        <w:t>。在接下来的几年里，倪柝声开始</w:t>
      </w:r>
      <w:r w:rsidR="008E4793">
        <w:rPr>
          <w:rFonts w:hint="eastAsia"/>
          <w:lang w:eastAsia="zh-CN"/>
        </w:rPr>
        <w:t>着迷于</w:t>
      </w:r>
      <w:r w:rsidRPr="003C2996">
        <w:rPr>
          <w:rFonts w:hint="eastAsia"/>
          <w:lang w:eastAsia="zh-CN"/>
        </w:rPr>
        <w:t>普利茅茨弟兄会</w:t>
      </w:r>
      <w:r w:rsidR="008E4793">
        <w:rPr>
          <w:rFonts w:hint="eastAsia"/>
          <w:lang w:eastAsia="zh-CN"/>
        </w:rPr>
        <w:t>的教导</w:t>
      </w:r>
      <w:r w:rsidRPr="003C2996">
        <w:rPr>
          <w:rFonts w:hint="eastAsia"/>
          <w:lang w:eastAsia="zh-CN"/>
        </w:rPr>
        <w:t>、</w:t>
      </w:r>
      <w:r w:rsidR="008E4793">
        <w:rPr>
          <w:rFonts w:hint="eastAsia"/>
          <w:lang w:eastAsia="zh-CN"/>
        </w:rPr>
        <w:t>司可福的经典</w:t>
      </w:r>
      <w:r w:rsidRPr="003C2996">
        <w:rPr>
          <w:rFonts w:hint="eastAsia"/>
          <w:lang w:eastAsia="zh-CN"/>
        </w:rPr>
        <w:t>时代论神学</w:t>
      </w:r>
      <w:r w:rsidR="008E4793">
        <w:rPr>
          <w:rStyle w:val="FootnoteReference"/>
          <w:lang w:eastAsia="zh-CN"/>
        </w:rPr>
        <w:footnoteReference w:id="75"/>
      </w:r>
      <w:r w:rsidRPr="003C2996">
        <w:rPr>
          <w:rFonts w:hint="eastAsia"/>
          <w:lang w:eastAsia="zh-CN"/>
        </w:rPr>
        <w:t>、凯锡克丰盛生命教导（</w:t>
      </w:r>
      <w:r w:rsidRPr="003C2996">
        <w:rPr>
          <w:lang w:eastAsia="zh-CN"/>
        </w:rPr>
        <w:t>Keswick</w:t>
      </w:r>
      <w:r w:rsidRPr="003C2996">
        <w:rPr>
          <w:rFonts w:hint="eastAsia"/>
          <w:lang w:eastAsia="zh-CN"/>
        </w:rPr>
        <w:t xml:space="preserve"> </w:t>
      </w:r>
      <w:r w:rsidRPr="003C2996">
        <w:rPr>
          <w:lang w:eastAsia="zh-CN"/>
        </w:rPr>
        <w:t>higher life teaching</w:t>
      </w:r>
      <w:r w:rsidRPr="003C2996">
        <w:rPr>
          <w:rFonts w:hint="eastAsia"/>
          <w:lang w:eastAsia="zh-CN"/>
        </w:rPr>
        <w:t>）</w:t>
      </w:r>
      <w:r w:rsidR="008E4793">
        <w:rPr>
          <w:rStyle w:val="FootnoteReference"/>
          <w:lang w:eastAsia="zh-CN"/>
        </w:rPr>
        <w:footnoteReference w:id="76"/>
      </w:r>
      <w:r w:rsidRPr="003C2996">
        <w:rPr>
          <w:rFonts w:hint="eastAsia"/>
          <w:lang w:eastAsia="zh-CN"/>
        </w:rPr>
        <w:t>以及神秘主义</w:t>
      </w:r>
      <w:r w:rsidR="008E4793">
        <w:rPr>
          <w:rFonts w:hint="eastAsia"/>
          <w:lang w:eastAsia="zh-CN"/>
        </w:rPr>
        <w:t>——</w:t>
      </w:r>
      <w:r w:rsidRPr="003C2996">
        <w:rPr>
          <w:rFonts w:hint="eastAsia"/>
          <w:lang w:eastAsia="zh-CN"/>
        </w:rPr>
        <w:t>例如盖恩夫人</w:t>
      </w:r>
      <w:r w:rsidRPr="003C2996">
        <w:rPr>
          <w:lang w:eastAsia="zh-CN"/>
        </w:rPr>
        <w:t>(Madame Guyon)</w:t>
      </w:r>
      <w:r w:rsidR="008E4793">
        <w:rPr>
          <w:rFonts w:hint="eastAsia"/>
          <w:lang w:eastAsia="zh-CN"/>
        </w:rPr>
        <w:t>——的著作</w:t>
      </w:r>
      <w:r w:rsidR="008E4793">
        <w:rPr>
          <w:rStyle w:val="FootnoteReference"/>
          <w:lang w:eastAsia="zh-CN"/>
        </w:rPr>
        <w:footnoteReference w:id="77"/>
      </w:r>
      <w:r w:rsidRPr="003C2996">
        <w:rPr>
          <w:rFonts w:hint="eastAsia"/>
          <w:lang w:eastAsia="zh-CN"/>
        </w:rPr>
        <w:t>。</w:t>
      </w:r>
      <w:r w:rsidRPr="003C2996">
        <w:rPr>
          <w:rFonts w:hint="eastAsia"/>
          <w:lang w:eastAsia="zh-CN"/>
        </w:rPr>
        <w:t>1928</w:t>
      </w:r>
      <w:r w:rsidRPr="003C2996">
        <w:rPr>
          <w:rFonts w:hint="eastAsia"/>
          <w:lang w:eastAsia="zh-CN"/>
        </w:rPr>
        <w:t>年，倪柝声出版了他最著名的书籍《属灵人》，这本书在很大程度上汲取了神秘主义者</w:t>
      </w:r>
      <w:r w:rsidR="008E4793">
        <w:rPr>
          <w:rFonts w:hint="eastAsia"/>
          <w:lang w:eastAsia="zh-CN"/>
        </w:rPr>
        <w:t>宾路易师母（</w:t>
      </w:r>
      <w:r w:rsidRPr="003C2996">
        <w:rPr>
          <w:lang w:eastAsia="zh-CN"/>
        </w:rPr>
        <w:t>Jessie</w:t>
      </w:r>
      <w:r w:rsidR="008E4793">
        <w:rPr>
          <w:lang w:eastAsia="zh-CN"/>
        </w:rPr>
        <w:t xml:space="preserve"> </w:t>
      </w:r>
      <w:r w:rsidRPr="003C2996">
        <w:rPr>
          <w:lang w:eastAsia="zh-CN"/>
        </w:rPr>
        <w:t>Penn</w:t>
      </w:r>
      <w:r w:rsidR="008E4793">
        <w:rPr>
          <w:lang w:eastAsia="zh-CN"/>
        </w:rPr>
        <w:t xml:space="preserve"> </w:t>
      </w:r>
      <w:r w:rsidRPr="003C2996">
        <w:rPr>
          <w:lang w:eastAsia="zh-CN"/>
        </w:rPr>
        <w:t>Lewis</w:t>
      </w:r>
      <w:r w:rsidR="008E4793">
        <w:rPr>
          <w:rFonts w:hint="eastAsia"/>
          <w:lang w:eastAsia="zh-CN"/>
        </w:rPr>
        <w:t>）</w:t>
      </w:r>
      <w:r w:rsidRPr="003C2996">
        <w:rPr>
          <w:rFonts w:hint="eastAsia"/>
          <w:lang w:eastAsia="zh-CN"/>
        </w:rPr>
        <w:t xml:space="preserve"> </w:t>
      </w:r>
      <w:r w:rsidRPr="003C2996">
        <w:rPr>
          <w:rFonts w:hint="eastAsia"/>
          <w:lang w:eastAsia="zh-CN"/>
        </w:rPr>
        <w:t>及其作品《魂与灵》</w:t>
      </w:r>
      <w:r w:rsidR="008E4793">
        <w:rPr>
          <w:rFonts w:hint="eastAsia"/>
          <w:lang w:eastAsia="zh-CN"/>
        </w:rPr>
        <w:t>中的理念</w:t>
      </w:r>
      <w:r w:rsidR="00992238">
        <w:rPr>
          <w:rStyle w:val="FootnoteReference"/>
          <w:lang w:eastAsia="zh-CN"/>
        </w:rPr>
        <w:footnoteReference w:id="78"/>
      </w:r>
      <w:r w:rsidRPr="003C2996">
        <w:rPr>
          <w:rFonts w:hint="eastAsia"/>
          <w:lang w:eastAsia="zh-CN"/>
        </w:rPr>
        <w:t>。</w:t>
      </w:r>
    </w:p>
    <w:p w14:paraId="0B3F3A27" w14:textId="316099A4" w:rsidR="003C2996" w:rsidRPr="003C2996" w:rsidRDefault="003C2996" w:rsidP="003C2996">
      <w:pPr>
        <w:rPr>
          <w:lang w:eastAsia="zh-CN"/>
        </w:rPr>
      </w:pPr>
      <w:r w:rsidRPr="003C2996">
        <w:rPr>
          <w:rFonts w:hint="eastAsia"/>
          <w:lang w:eastAsia="zh-CN"/>
        </w:rPr>
        <w:t>到</w:t>
      </w:r>
      <w:r w:rsidRPr="003C2996">
        <w:rPr>
          <w:rFonts w:hint="eastAsia"/>
          <w:lang w:eastAsia="zh-CN"/>
        </w:rPr>
        <w:t>1930</w:t>
      </w:r>
      <w:r w:rsidRPr="003C2996">
        <w:rPr>
          <w:rFonts w:hint="eastAsia"/>
          <w:lang w:eastAsia="zh-CN"/>
        </w:rPr>
        <w:t>年代初，倪柝声的追随者开始迅速增加，他</w:t>
      </w:r>
      <w:r w:rsidR="008E4793">
        <w:rPr>
          <w:rFonts w:hint="eastAsia"/>
          <w:lang w:eastAsia="zh-CN"/>
        </w:rPr>
        <w:t>开始借</w:t>
      </w:r>
      <w:r w:rsidRPr="003C2996">
        <w:rPr>
          <w:rFonts w:hint="eastAsia"/>
          <w:lang w:eastAsia="zh-CN"/>
        </w:rPr>
        <w:t>自己的声望去谴责各个宗派，视其为从西方宣教士而来的</w:t>
      </w:r>
      <w:r w:rsidR="008E4793">
        <w:rPr>
          <w:rFonts w:hint="eastAsia"/>
          <w:lang w:eastAsia="zh-CN"/>
        </w:rPr>
        <w:t>、毫无益处的</w:t>
      </w:r>
      <w:r w:rsidRPr="003C2996">
        <w:rPr>
          <w:rFonts w:hint="eastAsia"/>
          <w:lang w:eastAsia="zh-CN"/>
        </w:rPr>
        <w:t>舶来品</w:t>
      </w:r>
      <w:r w:rsidR="008E4793">
        <w:rPr>
          <w:rStyle w:val="FootnoteReference"/>
          <w:lang w:eastAsia="zh-CN"/>
        </w:rPr>
        <w:footnoteReference w:id="79"/>
      </w:r>
      <w:r w:rsidRPr="003C2996">
        <w:rPr>
          <w:rFonts w:hint="eastAsia"/>
          <w:lang w:eastAsia="zh-CN"/>
        </w:rPr>
        <w:t>。具有讽刺意味的是，大约在同一时期，倪柝声创建的“小群”开始迅速发展。这个围绕着倪为中心建立起来的</w:t>
      </w:r>
      <w:r w:rsidR="008E4793">
        <w:rPr>
          <w:rFonts w:hint="eastAsia"/>
          <w:lang w:eastAsia="zh-CN"/>
        </w:rPr>
        <w:t>聚会处体系</w:t>
      </w:r>
      <w:r w:rsidRPr="003C2996">
        <w:rPr>
          <w:rFonts w:hint="eastAsia"/>
          <w:lang w:eastAsia="zh-CN"/>
        </w:rPr>
        <w:t>之所以得名，是因为教会成员唱的是普利茅茨弟兄会的赞美诗《</w:t>
      </w:r>
      <w:r w:rsidR="008E4793">
        <w:rPr>
          <w:rFonts w:hint="eastAsia"/>
          <w:lang w:eastAsia="zh-CN"/>
        </w:rPr>
        <w:t>小群诗歌</w:t>
      </w:r>
      <w:r w:rsidRPr="003C2996">
        <w:rPr>
          <w:rFonts w:hint="eastAsia"/>
          <w:lang w:eastAsia="zh-CN"/>
        </w:rPr>
        <w:t>》（</w:t>
      </w:r>
      <w:r w:rsidRPr="003C2996">
        <w:rPr>
          <w:i/>
          <w:iCs/>
          <w:lang w:eastAsia="zh-CN"/>
        </w:rPr>
        <w:t>Hymns for the Little Flock</w:t>
      </w:r>
      <w:r w:rsidRPr="003C2996">
        <w:rPr>
          <w:rFonts w:hint="eastAsia"/>
          <w:lang w:eastAsia="zh-CN"/>
        </w:rPr>
        <w:t>）。到</w:t>
      </w:r>
      <w:r w:rsidRPr="003C2996">
        <w:rPr>
          <w:rFonts w:hint="eastAsia"/>
          <w:lang w:eastAsia="zh-CN"/>
        </w:rPr>
        <w:t>1933</w:t>
      </w:r>
      <w:r w:rsidRPr="003C2996">
        <w:rPr>
          <w:rFonts w:hint="eastAsia"/>
          <w:lang w:eastAsia="zh-CN"/>
        </w:rPr>
        <w:t>年底，倪柝声</w:t>
      </w:r>
      <w:r w:rsidR="00992238">
        <w:rPr>
          <w:rFonts w:hint="eastAsia"/>
          <w:lang w:eastAsia="zh-CN"/>
        </w:rPr>
        <w:t>宣称</w:t>
      </w:r>
      <w:r w:rsidRPr="003C2996">
        <w:rPr>
          <w:rFonts w:hint="eastAsia"/>
          <w:lang w:eastAsia="zh-CN"/>
        </w:rPr>
        <w:t>已经有超过</w:t>
      </w:r>
      <w:r w:rsidRPr="003C2996">
        <w:rPr>
          <w:rFonts w:hint="eastAsia"/>
          <w:lang w:eastAsia="zh-CN"/>
        </w:rPr>
        <w:t>100</w:t>
      </w:r>
      <w:r w:rsidRPr="003C2996">
        <w:rPr>
          <w:rFonts w:hint="eastAsia"/>
          <w:lang w:eastAsia="zh-CN"/>
        </w:rPr>
        <w:t>个</w:t>
      </w:r>
      <w:r w:rsidR="00992238">
        <w:rPr>
          <w:rFonts w:hint="eastAsia"/>
          <w:lang w:eastAsia="zh-CN"/>
        </w:rPr>
        <w:t>的</w:t>
      </w:r>
      <w:r w:rsidRPr="003C2996">
        <w:rPr>
          <w:rFonts w:hint="eastAsia"/>
          <w:lang w:eastAsia="zh-CN"/>
        </w:rPr>
        <w:t>小群教会聚会</w:t>
      </w:r>
      <w:r w:rsidR="00992238">
        <w:rPr>
          <w:rFonts w:hint="eastAsia"/>
          <w:lang w:eastAsia="zh-CN"/>
        </w:rPr>
        <w:t>处</w:t>
      </w:r>
      <w:r w:rsidR="00992238">
        <w:rPr>
          <w:rStyle w:val="FootnoteReference"/>
          <w:lang w:eastAsia="zh-CN"/>
        </w:rPr>
        <w:footnoteReference w:id="80"/>
      </w:r>
      <w:r w:rsidRPr="003C2996">
        <w:rPr>
          <w:rFonts w:hint="eastAsia"/>
          <w:lang w:eastAsia="zh-CN"/>
        </w:rPr>
        <w:t>。在</w:t>
      </w:r>
      <w:r w:rsidRPr="003C2996">
        <w:rPr>
          <w:rFonts w:hint="eastAsia"/>
          <w:lang w:eastAsia="zh-CN"/>
        </w:rPr>
        <w:t>30</w:t>
      </w:r>
      <w:r w:rsidRPr="003C2996">
        <w:rPr>
          <w:rFonts w:hint="eastAsia"/>
          <w:lang w:eastAsia="zh-CN"/>
        </w:rPr>
        <w:t>年代期间，倪柝声继续出版书籍并传道，尽管在第二次中日战争期间（</w:t>
      </w:r>
      <w:r w:rsidRPr="003C2996">
        <w:rPr>
          <w:rFonts w:hint="eastAsia"/>
          <w:lang w:eastAsia="zh-CN"/>
        </w:rPr>
        <w:t>1937-1945</w:t>
      </w:r>
      <w:r w:rsidRPr="003C2996">
        <w:rPr>
          <w:rFonts w:hint="eastAsia"/>
          <w:lang w:eastAsia="zh-CN"/>
        </w:rPr>
        <w:t>）日本进行了大规模的破坏和逼迫，但倪柝声的事工和小群教会的</w:t>
      </w:r>
      <w:r w:rsidR="00992238">
        <w:rPr>
          <w:rFonts w:hint="eastAsia"/>
          <w:lang w:eastAsia="zh-CN"/>
        </w:rPr>
        <w:t>事工仍然得到极大的发展。</w:t>
      </w:r>
      <w:r w:rsidR="00992238">
        <w:rPr>
          <w:rStyle w:val="FootnoteReference"/>
          <w:lang w:eastAsia="zh-CN"/>
        </w:rPr>
        <w:footnoteReference w:id="81"/>
      </w:r>
    </w:p>
    <w:p w14:paraId="13A69987" w14:textId="77777777" w:rsidR="003C2996" w:rsidRPr="003C2996" w:rsidRDefault="003C2996" w:rsidP="00992238">
      <w:pPr>
        <w:pStyle w:val="Heading2"/>
        <w:rPr>
          <w:lang w:val="en" w:eastAsia="zh-CN"/>
        </w:rPr>
      </w:pPr>
      <w:bookmarkStart w:id="14" w:name="_zeamhcpfxv5" w:colFirst="0" w:colLast="0"/>
      <w:bookmarkStart w:id="15" w:name="_Hlk46824302"/>
      <w:bookmarkEnd w:id="14"/>
      <w:r w:rsidRPr="003C2996">
        <w:rPr>
          <w:rFonts w:hint="eastAsia"/>
          <w:lang w:eastAsia="zh-CN"/>
        </w:rPr>
        <w:t>三自爱国运动</w:t>
      </w:r>
    </w:p>
    <w:bookmarkEnd w:id="15"/>
    <w:p w14:paraId="795C7BB9" w14:textId="15B20BDD" w:rsidR="003C2996" w:rsidRPr="003C2996" w:rsidRDefault="003C2996" w:rsidP="003C2996">
      <w:pPr>
        <w:rPr>
          <w:lang w:eastAsia="zh-CN"/>
        </w:rPr>
      </w:pPr>
      <w:r w:rsidRPr="003C2996">
        <w:rPr>
          <w:rFonts w:hint="eastAsia"/>
          <w:lang w:eastAsia="zh-CN"/>
        </w:rPr>
        <w:t>1940</w:t>
      </w:r>
      <w:r w:rsidRPr="003C2996">
        <w:rPr>
          <w:rFonts w:hint="eastAsia"/>
          <w:lang w:eastAsia="zh-CN"/>
        </w:rPr>
        <w:t>年代中期，第二次中日战争结束后不久，中国陷入了残酷的内战中。一方是在</w:t>
      </w:r>
      <w:r w:rsidRPr="003C2996">
        <w:rPr>
          <w:rFonts w:hint="eastAsia"/>
          <w:lang w:eastAsia="zh-CN"/>
        </w:rPr>
        <w:t>1912</w:t>
      </w:r>
      <w:r w:rsidRPr="003C2996">
        <w:rPr>
          <w:rFonts w:hint="eastAsia"/>
          <w:lang w:eastAsia="zh-CN"/>
        </w:rPr>
        <w:t>年将清政府赶下台的国民党，另一方是毛泽东领导的共产党。最终共产党赢得了战争，毛泽东于</w:t>
      </w:r>
      <w:r w:rsidRPr="003C2996">
        <w:rPr>
          <w:rFonts w:hint="eastAsia"/>
          <w:lang w:eastAsia="zh-CN"/>
        </w:rPr>
        <w:t>1949</w:t>
      </w:r>
      <w:r w:rsidRPr="003C2996">
        <w:rPr>
          <w:rFonts w:hint="eastAsia"/>
          <w:lang w:eastAsia="zh-CN"/>
        </w:rPr>
        <w:t>年</w:t>
      </w:r>
      <w:r w:rsidRPr="003C2996">
        <w:rPr>
          <w:rFonts w:hint="eastAsia"/>
          <w:lang w:eastAsia="zh-CN"/>
        </w:rPr>
        <w:t>10</w:t>
      </w:r>
      <w:r w:rsidRPr="003C2996">
        <w:rPr>
          <w:rFonts w:hint="eastAsia"/>
          <w:lang w:eastAsia="zh-CN"/>
        </w:rPr>
        <w:t>月</w:t>
      </w:r>
      <w:r w:rsidRPr="003C2996">
        <w:rPr>
          <w:rFonts w:hint="eastAsia"/>
          <w:lang w:eastAsia="zh-CN"/>
        </w:rPr>
        <w:t>1</w:t>
      </w:r>
      <w:r w:rsidRPr="003C2996">
        <w:rPr>
          <w:rFonts w:hint="eastAsia"/>
          <w:lang w:eastAsia="zh-CN"/>
        </w:rPr>
        <w:t>日宣布中华人民共和国成立。像之前的历代帝王一样，共产党坚持监视宗教生活，要求各</w:t>
      </w:r>
      <w:r w:rsidR="00992238">
        <w:rPr>
          <w:rFonts w:hint="eastAsia"/>
          <w:lang w:eastAsia="zh-CN"/>
        </w:rPr>
        <w:t>信仰团体</w:t>
      </w:r>
      <w:r w:rsidRPr="003C2996">
        <w:rPr>
          <w:rFonts w:hint="eastAsia"/>
          <w:lang w:eastAsia="zh-CN"/>
        </w:rPr>
        <w:t>向政府登记其活动场所和</w:t>
      </w:r>
      <w:r w:rsidR="00992238">
        <w:rPr>
          <w:rFonts w:hint="eastAsia"/>
          <w:lang w:eastAsia="zh-CN"/>
        </w:rPr>
        <w:t>神</w:t>
      </w:r>
      <w:r w:rsidRPr="003C2996">
        <w:rPr>
          <w:rFonts w:hint="eastAsia"/>
          <w:lang w:eastAsia="zh-CN"/>
        </w:rPr>
        <w:t>职人员。这种本能源于当权者对稳定的渴望，以及历史上反复出现的宗教运动演变成政治叛乱的教训。（例如：</w:t>
      </w:r>
      <w:r w:rsidRPr="003C2996">
        <w:rPr>
          <w:rFonts w:hint="eastAsia"/>
          <w:lang w:eastAsia="zh-CN"/>
        </w:rPr>
        <w:t>14</w:t>
      </w:r>
      <w:r w:rsidRPr="003C2996">
        <w:rPr>
          <w:rFonts w:hint="eastAsia"/>
          <w:lang w:eastAsia="zh-CN"/>
        </w:rPr>
        <w:t>世纪</w:t>
      </w:r>
      <w:r w:rsidRPr="003C2996">
        <w:rPr>
          <w:rFonts w:hint="eastAsia"/>
          <w:lang w:eastAsia="zh-CN"/>
        </w:rPr>
        <w:t>50</w:t>
      </w:r>
      <w:r w:rsidRPr="003C2996">
        <w:rPr>
          <w:rFonts w:hint="eastAsia"/>
          <w:lang w:eastAsia="zh-CN"/>
        </w:rPr>
        <w:t>年代的白莲教起义，</w:t>
      </w:r>
      <w:r w:rsidRPr="003C2996">
        <w:rPr>
          <w:rFonts w:hint="eastAsia"/>
          <w:lang w:eastAsia="zh-CN"/>
        </w:rPr>
        <w:t>1813</w:t>
      </w:r>
      <w:r w:rsidRPr="003C2996">
        <w:rPr>
          <w:rFonts w:hint="eastAsia"/>
          <w:lang w:eastAsia="zh-CN"/>
        </w:rPr>
        <w:t>年八卦教起义，</w:t>
      </w:r>
      <w:r w:rsidRPr="003C2996">
        <w:rPr>
          <w:rFonts w:hint="eastAsia"/>
          <w:lang w:eastAsia="zh-CN"/>
        </w:rPr>
        <w:t>19</w:t>
      </w:r>
      <w:r w:rsidRPr="003C2996">
        <w:rPr>
          <w:rFonts w:hint="eastAsia"/>
          <w:lang w:eastAsia="zh-CN"/>
        </w:rPr>
        <w:t>世纪</w:t>
      </w:r>
      <w:r w:rsidRPr="003C2996">
        <w:rPr>
          <w:rFonts w:hint="eastAsia"/>
          <w:lang w:eastAsia="zh-CN"/>
        </w:rPr>
        <w:t>50</w:t>
      </w:r>
      <w:r w:rsidRPr="003C2996">
        <w:rPr>
          <w:rFonts w:hint="eastAsia"/>
          <w:lang w:eastAsia="zh-CN"/>
        </w:rPr>
        <w:t>年代太平天国运动</w:t>
      </w:r>
      <w:r w:rsidR="00992238">
        <w:rPr>
          <w:rStyle w:val="FootnoteReference"/>
          <w:lang w:eastAsia="zh-CN"/>
        </w:rPr>
        <w:footnoteReference w:id="82"/>
      </w:r>
      <w:r w:rsidRPr="003C2996">
        <w:rPr>
          <w:rFonts w:hint="eastAsia"/>
          <w:lang w:eastAsia="zh-CN"/>
        </w:rPr>
        <w:t>，</w:t>
      </w:r>
      <w:r w:rsidR="00992238">
        <w:rPr>
          <w:rFonts w:hint="eastAsia"/>
          <w:lang w:eastAsia="zh-CN"/>
        </w:rPr>
        <w:t>以及</w:t>
      </w:r>
      <w:r w:rsidRPr="003C2996">
        <w:rPr>
          <w:rFonts w:hint="eastAsia"/>
          <w:lang w:eastAsia="zh-CN"/>
        </w:rPr>
        <w:t>19</w:t>
      </w:r>
      <w:r w:rsidRPr="003C2996">
        <w:rPr>
          <w:rFonts w:hint="eastAsia"/>
          <w:lang w:eastAsia="zh-CN"/>
        </w:rPr>
        <w:t>世纪中期的回民起义</w:t>
      </w:r>
      <w:r w:rsidR="00992238">
        <w:rPr>
          <w:rStyle w:val="FootnoteReference"/>
          <w:lang w:eastAsia="zh-CN"/>
        </w:rPr>
        <w:footnoteReference w:id="83"/>
      </w:r>
      <w:r w:rsidRPr="003C2996">
        <w:rPr>
          <w:rFonts w:hint="eastAsia"/>
          <w:lang w:eastAsia="zh-CN"/>
        </w:rPr>
        <w:t>）。</w:t>
      </w:r>
    </w:p>
    <w:p w14:paraId="6C036470" w14:textId="40AA9301" w:rsidR="003C2996" w:rsidRPr="003C2996" w:rsidRDefault="003C2996" w:rsidP="003C2996">
      <w:pPr>
        <w:rPr>
          <w:lang w:eastAsia="zh-CN"/>
        </w:rPr>
      </w:pPr>
      <w:r w:rsidRPr="003C2996">
        <w:rPr>
          <w:rFonts w:hint="eastAsia"/>
          <w:lang w:eastAsia="zh-CN"/>
        </w:rPr>
        <w:t>1950</w:t>
      </w:r>
      <w:r w:rsidRPr="003C2996">
        <w:rPr>
          <w:rFonts w:hint="eastAsia"/>
          <w:lang w:eastAsia="zh-CN"/>
        </w:rPr>
        <w:t>年</w:t>
      </w:r>
      <w:r w:rsidRPr="003C2996">
        <w:rPr>
          <w:rFonts w:hint="eastAsia"/>
          <w:lang w:eastAsia="zh-CN"/>
        </w:rPr>
        <w:t>5</w:t>
      </w:r>
      <w:r w:rsidRPr="003C2996">
        <w:rPr>
          <w:rFonts w:hint="eastAsia"/>
          <w:lang w:eastAsia="zh-CN"/>
        </w:rPr>
        <w:t>月，在中国共产党加强对宗教和国外势力控制的背景下，作为共产党员的基督徒吴耀宗（</w:t>
      </w:r>
      <w:r w:rsidRPr="003C2996">
        <w:rPr>
          <w:lang w:eastAsia="zh-CN"/>
        </w:rPr>
        <w:t>Y. T. Wu</w:t>
      </w:r>
      <w:r w:rsidRPr="003C2996">
        <w:rPr>
          <w:rFonts w:hint="eastAsia"/>
          <w:lang w:eastAsia="zh-CN"/>
        </w:rPr>
        <w:t>）和其他</w:t>
      </w:r>
      <w:r w:rsidRPr="003C2996">
        <w:rPr>
          <w:rFonts w:hint="eastAsia"/>
          <w:lang w:eastAsia="zh-CN"/>
        </w:rPr>
        <w:t>18</w:t>
      </w:r>
      <w:r w:rsidRPr="003C2996">
        <w:rPr>
          <w:rFonts w:hint="eastAsia"/>
          <w:lang w:eastAsia="zh-CN"/>
        </w:rPr>
        <w:t>位本土教会领袖前往北京，与中国总理周恩来进行了一系列会晤。在这些讨论中，</w:t>
      </w:r>
      <w:r w:rsidRPr="003C2996">
        <w:rPr>
          <w:rFonts w:hint="eastAsia"/>
          <w:lang w:eastAsia="zh-CN"/>
        </w:rPr>
        <w:lastRenderedPageBreak/>
        <w:t>与会的基督徒承认了与</w:t>
      </w:r>
      <w:r w:rsidR="00992238">
        <w:rPr>
          <w:rFonts w:hint="eastAsia"/>
          <w:lang w:eastAsia="zh-CN"/>
        </w:rPr>
        <w:t>帝国主义纠葛</w:t>
      </w:r>
      <w:r w:rsidRPr="003C2996">
        <w:rPr>
          <w:rFonts w:hint="eastAsia"/>
          <w:lang w:eastAsia="zh-CN"/>
        </w:rPr>
        <w:t>的历史，并承诺要摆脱任何残余的外国关系</w:t>
      </w:r>
      <w:r w:rsidR="00992238">
        <w:rPr>
          <w:rStyle w:val="FootnoteReference"/>
          <w:lang w:eastAsia="zh-CN"/>
        </w:rPr>
        <w:footnoteReference w:id="84"/>
      </w:r>
      <w:r w:rsidRPr="003C2996">
        <w:rPr>
          <w:rFonts w:hint="eastAsia"/>
          <w:lang w:eastAsia="zh-CN"/>
        </w:rPr>
        <w:t>。在一份</w:t>
      </w:r>
      <w:r w:rsidR="00992238">
        <w:rPr>
          <w:rFonts w:hint="eastAsia"/>
          <w:lang w:eastAsia="zh-CN"/>
        </w:rPr>
        <w:t>体现了基督教自由派神学</w:t>
      </w:r>
      <w:r w:rsidR="00992238">
        <w:rPr>
          <w:rStyle w:val="FootnoteReference"/>
          <w:lang w:eastAsia="zh-CN"/>
        </w:rPr>
        <w:footnoteReference w:id="85"/>
      </w:r>
      <w:r w:rsidR="00992238">
        <w:rPr>
          <w:rFonts w:hint="eastAsia"/>
          <w:lang w:eastAsia="zh-CN"/>
        </w:rPr>
        <w:t>的、</w:t>
      </w:r>
      <w:r w:rsidRPr="003C2996">
        <w:rPr>
          <w:rFonts w:hint="eastAsia"/>
          <w:lang w:eastAsia="zh-CN"/>
        </w:rPr>
        <w:t>名为《三自革新宣言》的文件中写到：</w:t>
      </w:r>
      <w:r w:rsidRPr="003C2996">
        <w:rPr>
          <w:rFonts w:hint="eastAsia"/>
          <w:lang w:eastAsia="zh-CN"/>
        </w:rPr>
        <w:t xml:space="preserve"> </w:t>
      </w:r>
      <w:r w:rsidRPr="003C2996">
        <w:rPr>
          <w:rFonts w:hint="eastAsia"/>
          <w:lang w:eastAsia="zh-CN"/>
        </w:rPr>
        <w:t>“认清帝国主义在中国制造的罪恶；承认帝国主义曾经利用过基督教；从基督教内部清除帝国主义的影响；要警惕帝国主义，特别是美帝国主义，企图用宗教来扶植反动势力的发展。”</w:t>
      </w:r>
      <w:r w:rsidR="00992238">
        <w:rPr>
          <w:rStyle w:val="FootnoteReference"/>
          <w:lang w:eastAsia="zh-CN"/>
        </w:rPr>
        <w:footnoteReference w:id="86"/>
      </w:r>
    </w:p>
    <w:p w14:paraId="5930FCD2" w14:textId="5C2660D4" w:rsidR="003C2996" w:rsidRPr="003C2996" w:rsidRDefault="003C2996" w:rsidP="003C2996">
      <w:pPr>
        <w:rPr>
          <w:lang w:eastAsia="zh-CN"/>
        </w:rPr>
      </w:pPr>
      <w:r w:rsidRPr="003C2996">
        <w:rPr>
          <w:rFonts w:hint="eastAsia"/>
          <w:lang w:eastAsia="zh-CN"/>
        </w:rPr>
        <w:t>1951</w:t>
      </w:r>
      <w:r w:rsidRPr="003C2996">
        <w:rPr>
          <w:rFonts w:hint="eastAsia"/>
          <w:lang w:eastAsia="zh-CN"/>
        </w:rPr>
        <w:t>年，吴耀宗在北京召集了一批基督徒，在周恩来的支持下开始了作为官方机构的“三自爱国运动”（</w:t>
      </w:r>
      <w:r w:rsidRPr="003C2996">
        <w:rPr>
          <w:lang w:eastAsia="zh-CN"/>
        </w:rPr>
        <w:t>TSPM</w:t>
      </w:r>
      <w:r w:rsidRPr="003C2996">
        <w:rPr>
          <w:rFonts w:hint="eastAsia"/>
          <w:lang w:eastAsia="zh-CN"/>
        </w:rPr>
        <w:t>）的运作</w:t>
      </w:r>
      <w:r w:rsidR="00992238">
        <w:rPr>
          <w:rStyle w:val="FootnoteReference"/>
          <w:lang w:eastAsia="zh-CN"/>
        </w:rPr>
        <w:footnoteReference w:id="87"/>
      </w:r>
      <w:r w:rsidRPr="003C2996">
        <w:rPr>
          <w:rFonts w:hint="eastAsia"/>
          <w:lang w:eastAsia="zh-CN"/>
        </w:rPr>
        <w:t>。“三自”一词可以追溯到</w:t>
      </w:r>
      <w:r w:rsidRPr="003C2996">
        <w:rPr>
          <w:rFonts w:hint="eastAsia"/>
          <w:lang w:eastAsia="zh-CN"/>
        </w:rPr>
        <w:t>19</w:t>
      </w:r>
      <w:r w:rsidRPr="003C2996">
        <w:rPr>
          <w:rFonts w:hint="eastAsia"/>
          <w:lang w:eastAsia="zh-CN"/>
        </w:rPr>
        <w:t>世纪中期，当时美国公理</w:t>
      </w:r>
      <w:r w:rsidR="00992238">
        <w:rPr>
          <w:rFonts w:hint="eastAsia"/>
          <w:lang w:eastAsia="zh-CN"/>
        </w:rPr>
        <w:t>会</w:t>
      </w:r>
      <w:r w:rsidRPr="003C2996">
        <w:rPr>
          <w:rFonts w:hint="eastAsia"/>
          <w:lang w:eastAsia="zh-CN"/>
        </w:rPr>
        <w:t>海外宣教部（美部会）和英国宣教会的负责人用这个词来表达他们对中国本土教会发展的目标：自治、自养和自传</w:t>
      </w:r>
      <w:r w:rsidR="00992238">
        <w:rPr>
          <w:rStyle w:val="FootnoteReference"/>
          <w:lang w:eastAsia="zh-CN"/>
        </w:rPr>
        <w:footnoteReference w:id="88"/>
      </w:r>
      <w:r w:rsidR="00992238">
        <w:rPr>
          <w:rStyle w:val="FootnoteReference"/>
          <w:lang w:eastAsia="zh-CN"/>
        </w:rPr>
        <w:footnoteReference w:id="89"/>
      </w:r>
      <w:r w:rsidRPr="003C2996">
        <w:rPr>
          <w:rFonts w:hint="eastAsia"/>
          <w:lang w:eastAsia="zh-CN"/>
        </w:rPr>
        <w:t>。虽然表面上是宗教机构，但三自</w:t>
      </w:r>
      <w:r w:rsidR="00992238">
        <w:rPr>
          <w:rFonts w:hint="eastAsia"/>
          <w:lang w:eastAsia="zh-CN"/>
        </w:rPr>
        <w:t>爱国运动委员会</w:t>
      </w:r>
      <w:r w:rsidRPr="003C2996">
        <w:rPr>
          <w:rFonts w:hint="eastAsia"/>
          <w:lang w:eastAsia="zh-CN"/>
        </w:rPr>
        <w:t>有很高的政治目标。事实上，发起该组织的委员会曾公开地提出了其共产主义政治目标，并自称为“中国基督教抗美援朝三自改革运动筹备委员会”</w:t>
      </w:r>
      <w:r w:rsidR="00992238">
        <w:rPr>
          <w:rStyle w:val="FootnoteReference"/>
          <w:lang w:eastAsia="zh-CN"/>
        </w:rPr>
        <w:footnoteReference w:id="90"/>
      </w:r>
      <w:r w:rsidRPr="003C2996">
        <w:rPr>
          <w:rFonts w:hint="eastAsia"/>
          <w:lang w:eastAsia="zh-CN"/>
        </w:rPr>
        <w:t>。</w:t>
      </w:r>
    </w:p>
    <w:p w14:paraId="475FDFED" w14:textId="034D46A4" w:rsidR="003C2996" w:rsidRPr="003C2996" w:rsidRDefault="003C2996" w:rsidP="003C2996">
      <w:pPr>
        <w:rPr>
          <w:lang w:eastAsia="zh-CN"/>
        </w:rPr>
      </w:pPr>
      <w:r w:rsidRPr="003C2996">
        <w:rPr>
          <w:rFonts w:hint="eastAsia"/>
          <w:lang w:eastAsia="zh-CN"/>
        </w:rPr>
        <w:t>三自成立后，政府加快了对三自以外的基督徒领袖有计划、有步骤的迫害。到</w:t>
      </w:r>
      <w:r w:rsidRPr="003C2996">
        <w:rPr>
          <w:rFonts w:hint="eastAsia"/>
          <w:lang w:eastAsia="zh-CN"/>
        </w:rPr>
        <w:t>1955</w:t>
      </w:r>
      <w:r w:rsidRPr="003C2996">
        <w:rPr>
          <w:rFonts w:hint="eastAsia"/>
          <w:lang w:eastAsia="zh-CN"/>
        </w:rPr>
        <w:t>年，这些领袖中的绝大多数人要么被监禁、要么受到严厉公开的抨击、要么逃到国外</w:t>
      </w:r>
      <w:r w:rsidR="00992238">
        <w:rPr>
          <w:rStyle w:val="FootnoteReference"/>
          <w:lang w:eastAsia="zh-CN"/>
        </w:rPr>
        <w:footnoteReference w:id="91"/>
      </w:r>
      <w:r w:rsidRPr="003C2996">
        <w:rPr>
          <w:rFonts w:hint="eastAsia"/>
          <w:lang w:eastAsia="zh-CN"/>
        </w:rPr>
        <w:t>。在采取这些行动时，政府</w:t>
      </w:r>
      <w:r w:rsidR="00992238">
        <w:rPr>
          <w:rFonts w:hint="eastAsia"/>
          <w:lang w:eastAsia="zh-CN"/>
        </w:rPr>
        <w:t>往往用</w:t>
      </w:r>
      <w:r w:rsidRPr="003C2996">
        <w:rPr>
          <w:rFonts w:hint="eastAsia"/>
          <w:lang w:eastAsia="zh-CN"/>
        </w:rPr>
        <w:t>基督徒欺诈、叛国或者以其它一些非宗教的罪名</w:t>
      </w:r>
      <w:r w:rsidR="00992238">
        <w:rPr>
          <w:rFonts w:hint="eastAsia"/>
          <w:lang w:eastAsia="zh-CN"/>
        </w:rPr>
        <w:t>对忠心的教会领袖进行控诉</w:t>
      </w:r>
      <w:r w:rsidRPr="003C2996">
        <w:rPr>
          <w:rFonts w:hint="eastAsia"/>
          <w:lang w:eastAsia="zh-CN"/>
        </w:rPr>
        <w:t>，试图维护宗教自由的</w:t>
      </w:r>
      <w:r w:rsidR="00992238">
        <w:rPr>
          <w:rFonts w:hint="eastAsia"/>
          <w:lang w:eastAsia="zh-CN"/>
        </w:rPr>
        <w:t>外衣</w:t>
      </w:r>
      <w:r w:rsidR="00992238">
        <w:rPr>
          <w:rStyle w:val="FootnoteReference"/>
          <w:lang w:eastAsia="zh-CN"/>
        </w:rPr>
        <w:footnoteReference w:id="92"/>
      </w:r>
      <w:r w:rsidRPr="003C2996">
        <w:rPr>
          <w:rFonts w:hint="eastAsia"/>
          <w:lang w:eastAsia="zh-CN"/>
        </w:rPr>
        <w:t>。由于共产党</w:t>
      </w:r>
      <w:r w:rsidR="00992238">
        <w:rPr>
          <w:rFonts w:hint="eastAsia"/>
          <w:lang w:eastAsia="zh-CN"/>
        </w:rPr>
        <w:t>在这方面的不遗余力</w:t>
      </w:r>
      <w:r w:rsidRPr="003C2996">
        <w:rPr>
          <w:rFonts w:hint="eastAsia"/>
          <w:lang w:eastAsia="zh-CN"/>
        </w:rPr>
        <w:t>，到</w:t>
      </w:r>
      <w:r w:rsidRPr="003C2996">
        <w:rPr>
          <w:rFonts w:hint="eastAsia"/>
          <w:lang w:eastAsia="zh-CN"/>
        </w:rPr>
        <w:t>1950</w:t>
      </w:r>
      <w:r w:rsidRPr="003C2996">
        <w:rPr>
          <w:rFonts w:hint="eastAsia"/>
          <w:lang w:eastAsia="zh-CN"/>
        </w:rPr>
        <w:t>年代中期，真正称得上“三自”的三大独立华人教会运动都在衰落，因为他们的领袖大多都已经被政府监禁起来了</w:t>
      </w:r>
      <w:r w:rsidR="00992238">
        <w:rPr>
          <w:rStyle w:val="FootnoteReference"/>
          <w:lang w:eastAsia="zh-CN"/>
        </w:rPr>
        <w:footnoteReference w:id="93"/>
      </w:r>
      <w:r w:rsidRPr="003C2996">
        <w:rPr>
          <w:rFonts w:hint="eastAsia"/>
          <w:lang w:eastAsia="zh-CN"/>
        </w:rPr>
        <w:t>。</w:t>
      </w:r>
    </w:p>
    <w:p w14:paraId="441E668E" w14:textId="77777777" w:rsidR="003C2996" w:rsidRPr="003C2996" w:rsidRDefault="003C2996" w:rsidP="00992238">
      <w:pPr>
        <w:pStyle w:val="Heading2"/>
        <w:rPr>
          <w:lang w:val="en" w:eastAsia="zh-CN"/>
        </w:rPr>
      </w:pPr>
      <w:bookmarkStart w:id="16" w:name="_ax5061ji3vrn" w:colFirst="0" w:colLast="0"/>
      <w:bookmarkStart w:id="17" w:name="_Hlk46824323"/>
      <w:bookmarkEnd w:id="16"/>
      <w:r w:rsidRPr="003C2996">
        <w:rPr>
          <w:rFonts w:hint="eastAsia"/>
          <w:lang w:eastAsia="zh-CN"/>
        </w:rPr>
        <w:t>逼迫：大跃进和文化大革命</w:t>
      </w:r>
    </w:p>
    <w:bookmarkEnd w:id="17"/>
    <w:p w14:paraId="5D513F29" w14:textId="77777777" w:rsidR="003C2996" w:rsidRPr="003C2996" w:rsidRDefault="003C2996" w:rsidP="003C2996">
      <w:pPr>
        <w:rPr>
          <w:lang w:eastAsia="zh-CN"/>
        </w:rPr>
      </w:pPr>
      <w:r w:rsidRPr="003C2996">
        <w:rPr>
          <w:rFonts w:hint="eastAsia"/>
          <w:lang w:eastAsia="zh-CN"/>
        </w:rPr>
        <w:t>1950</w:t>
      </w:r>
      <w:r w:rsidRPr="003C2996">
        <w:rPr>
          <w:rFonts w:hint="eastAsia"/>
          <w:lang w:eastAsia="zh-CN"/>
        </w:rPr>
        <w:t>年代末的时候，三自加速了对基督教的控制，但它仅仅反映了共产党政府对于中国人民生活日益严厉的管控。</w:t>
      </w:r>
    </w:p>
    <w:p w14:paraId="10F0DF1D" w14:textId="325515B3" w:rsidR="003C2996" w:rsidRPr="003C2996" w:rsidRDefault="003C2996" w:rsidP="003C2996">
      <w:pPr>
        <w:rPr>
          <w:lang w:eastAsia="zh-CN"/>
        </w:rPr>
      </w:pPr>
      <w:r w:rsidRPr="003C2996">
        <w:rPr>
          <w:rFonts w:hint="eastAsia"/>
          <w:lang w:eastAsia="zh-CN"/>
        </w:rPr>
        <w:t>从</w:t>
      </w:r>
      <w:r w:rsidRPr="003C2996">
        <w:rPr>
          <w:rFonts w:hint="eastAsia"/>
          <w:lang w:eastAsia="zh-CN"/>
        </w:rPr>
        <w:t>1958</w:t>
      </w:r>
      <w:r w:rsidRPr="003C2996">
        <w:rPr>
          <w:rFonts w:hint="eastAsia"/>
          <w:lang w:eastAsia="zh-CN"/>
        </w:rPr>
        <w:t>年开始，毛泽东领导的中国共产党推动国家进行经济和社会改革，这次运动被称之为“大跃进”（</w:t>
      </w:r>
      <w:r w:rsidRPr="003C2996">
        <w:rPr>
          <w:rFonts w:hint="eastAsia"/>
          <w:lang w:eastAsia="zh-CN"/>
        </w:rPr>
        <w:t>1958-1961</w:t>
      </w:r>
      <w:r w:rsidRPr="003C2996">
        <w:rPr>
          <w:rFonts w:hint="eastAsia"/>
          <w:lang w:eastAsia="zh-CN"/>
        </w:rPr>
        <w:t>），为的是寻求国家迅速工业化和集体化。大跃进</w:t>
      </w:r>
      <w:r w:rsidR="00992238" w:rsidRPr="003C2996">
        <w:rPr>
          <w:rFonts w:hint="eastAsia"/>
          <w:lang w:eastAsia="zh-CN"/>
        </w:rPr>
        <w:t>强制性</w:t>
      </w:r>
      <w:r w:rsidRPr="003C2996">
        <w:rPr>
          <w:rFonts w:hint="eastAsia"/>
          <w:lang w:eastAsia="zh-CN"/>
        </w:rPr>
        <w:t>建立了农村公社，将私人农业定为犯罪，并加强了宗教迫害。政府关闭了剩余的</w:t>
      </w:r>
      <w:r w:rsidRPr="003C2996">
        <w:rPr>
          <w:rFonts w:hint="eastAsia"/>
          <w:lang w:eastAsia="zh-CN"/>
        </w:rPr>
        <w:t>90%</w:t>
      </w:r>
      <w:r w:rsidRPr="003C2996">
        <w:rPr>
          <w:rFonts w:hint="eastAsia"/>
          <w:lang w:eastAsia="zh-CN"/>
        </w:rPr>
        <w:t>以上的教堂，并押送牧师们到田间劳改。仅在</w:t>
      </w:r>
      <w:r w:rsidRPr="003C2996">
        <w:rPr>
          <w:rFonts w:hint="eastAsia"/>
          <w:lang w:eastAsia="zh-CN"/>
        </w:rPr>
        <w:t>1958</w:t>
      </w:r>
      <w:r w:rsidRPr="003C2996">
        <w:rPr>
          <w:rFonts w:hint="eastAsia"/>
          <w:lang w:eastAsia="zh-CN"/>
        </w:rPr>
        <w:t>年，大跃进就关闭了</w:t>
      </w:r>
      <w:r w:rsidRPr="003C2996">
        <w:rPr>
          <w:rFonts w:hint="eastAsia"/>
          <w:lang w:eastAsia="zh-CN"/>
        </w:rPr>
        <w:t>2</w:t>
      </w:r>
      <w:r w:rsidRPr="003C2996">
        <w:rPr>
          <w:rFonts w:hint="eastAsia"/>
          <w:lang w:eastAsia="zh-CN"/>
        </w:rPr>
        <w:t>万多座教堂</w:t>
      </w:r>
      <w:r w:rsidR="00992238">
        <w:rPr>
          <w:rStyle w:val="FootnoteReference"/>
          <w:lang w:eastAsia="zh-CN"/>
        </w:rPr>
        <w:footnoteReference w:id="94"/>
      </w:r>
      <w:r w:rsidRPr="003C2996">
        <w:rPr>
          <w:rFonts w:hint="eastAsia"/>
          <w:lang w:eastAsia="zh-CN"/>
        </w:rPr>
        <w:t>。到</w:t>
      </w:r>
      <w:r w:rsidRPr="003C2996">
        <w:rPr>
          <w:rFonts w:hint="eastAsia"/>
          <w:lang w:eastAsia="zh-CN"/>
        </w:rPr>
        <w:t>1960</w:t>
      </w:r>
      <w:r w:rsidRPr="003C2996">
        <w:rPr>
          <w:rFonts w:hint="eastAsia"/>
          <w:lang w:eastAsia="zh-CN"/>
        </w:rPr>
        <w:t>年左右，三自加强了对少数仍然开放的公共教堂的控制，导致了这些教会中的基督徒大批</w:t>
      </w:r>
      <w:r w:rsidR="00992238">
        <w:rPr>
          <w:rFonts w:hint="eastAsia"/>
          <w:lang w:eastAsia="zh-CN"/>
        </w:rPr>
        <w:t>离开</w:t>
      </w:r>
      <w:r w:rsidRPr="003C2996">
        <w:rPr>
          <w:rFonts w:hint="eastAsia"/>
          <w:lang w:eastAsia="zh-CN"/>
        </w:rPr>
        <w:t>，并催生了所谓的“家庭教会”运动</w:t>
      </w:r>
      <w:r w:rsidR="00992238">
        <w:rPr>
          <w:rStyle w:val="FootnoteReference"/>
          <w:lang w:eastAsia="zh-CN"/>
        </w:rPr>
        <w:footnoteReference w:id="95"/>
      </w:r>
      <w:r w:rsidRPr="003C2996">
        <w:rPr>
          <w:rFonts w:hint="eastAsia"/>
          <w:lang w:eastAsia="zh-CN"/>
        </w:rPr>
        <w:t>。</w:t>
      </w:r>
    </w:p>
    <w:p w14:paraId="03AC1F80" w14:textId="6199F162" w:rsidR="003C2996" w:rsidRPr="003C2996" w:rsidRDefault="003C2996" w:rsidP="003C2996">
      <w:pPr>
        <w:rPr>
          <w:lang w:eastAsia="zh-CN"/>
        </w:rPr>
      </w:pPr>
      <w:r w:rsidRPr="003C2996">
        <w:rPr>
          <w:rFonts w:hint="eastAsia"/>
          <w:lang w:eastAsia="zh-CN"/>
        </w:rPr>
        <w:t>毛的宗教政策破坏了教会，同时他的经济政策导致了一场灾难性的饥荒。在饥荒和政治迫害的共同夹击下，仅在三年内，毛泽东的大跃进就造成至少</w:t>
      </w:r>
      <w:r w:rsidRPr="003C2996">
        <w:rPr>
          <w:rFonts w:hint="eastAsia"/>
          <w:lang w:eastAsia="zh-CN"/>
        </w:rPr>
        <w:t>3000</w:t>
      </w:r>
      <w:r w:rsidRPr="003C2996">
        <w:rPr>
          <w:rFonts w:hint="eastAsia"/>
          <w:lang w:eastAsia="zh-CN"/>
        </w:rPr>
        <w:t>万人死亡</w:t>
      </w:r>
      <w:r w:rsidR="00992238">
        <w:rPr>
          <w:rStyle w:val="FootnoteReference"/>
          <w:lang w:eastAsia="zh-CN"/>
        </w:rPr>
        <w:footnoteReference w:id="96"/>
      </w:r>
      <w:r w:rsidRPr="003C2996">
        <w:rPr>
          <w:rFonts w:hint="eastAsia"/>
          <w:lang w:eastAsia="zh-CN"/>
        </w:rPr>
        <w:t>。由于许多同住的人死亡，政治</w:t>
      </w:r>
      <w:r w:rsidRPr="003C2996">
        <w:rPr>
          <w:rFonts w:hint="eastAsia"/>
          <w:lang w:eastAsia="zh-CN"/>
        </w:rPr>
        <w:lastRenderedPageBreak/>
        <w:t>犯和宗教犯在劳改营中经历了最为严重的痛苦。然而，福音透过那些活下来的人显著地传播开来</w:t>
      </w:r>
      <w:r w:rsidR="00992238">
        <w:rPr>
          <w:rStyle w:val="FootnoteReference"/>
          <w:lang w:eastAsia="zh-CN"/>
        </w:rPr>
        <w:footnoteReference w:id="97"/>
      </w:r>
      <w:r w:rsidRPr="003C2996">
        <w:rPr>
          <w:rFonts w:hint="eastAsia"/>
          <w:lang w:eastAsia="zh-CN"/>
        </w:rPr>
        <w:t>。</w:t>
      </w:r>
    </w:p>
    <w:p w14:paraId="7D411B4E" w14:textId="55DA9F8F" w:rsidR="003C2996" w:rsidRPr="003C2996" w:rsidRDefault="003C2996" w:rsidP="003C2996">
      <w:pPr>
        <w:rPr>
          <w:lang w:eastAsia="zh-CN"/>
        </w:rPr>
      </w:pPr>
      <w:r w:rsidRPr="003C2996">
        <w:rPr>
          <w:rFonts w:hint="eastAsia"/>
          <w:lang w:eastAsia="zh-CN"/>
        </w:rPr>
        <w:t>大跃进惨败后，毛泽东发现自己在政治上被边缘化了。</w:t>
      </w:r>
      <w:r w:rsidRPr="003C2996">
        <w:rPr>
          <w:rFonts w:hint="eastAsia"/>
          <w:lang w:eastAsia="zh-CN"/>
        </w:rPr>
        <w:t>1966</w:t>
      </w:r>
      <w:r w:rsidRPr="003C2996">
        <w:rPr>
          <w:rFonts w:hint="eastAsia"/>
          <w:lang w:eastAsia="zh-CN"/>
        </w:rPr>
        <w:t>年，大跃进结束五年后，毛泽东策划重新掌权并要在政府中清除</w:t>
      </w:r>
      <w:r w:rsidR="00992238">
        <w:rPr>
          <w:rFonts w:hint="eastAsia"/>
          <w:lang w:eastAsia="zh-CN"/>
        </w:rPr>
        <w:t>温和派</w:t>
      </w:r>
      <w:r w:rsidRPr="003C2996">
        <w:rPr>
          <w:rFonts w:hint="eastAsia"/>
          <w:lang w:eastAsia="zh-CN"/>
        </w:rPr>
        <w:t>影响力。为了实现这些目标，毛泽东发起了文化大革命（</w:t>
      </w:r>
      <w:r w:rsidRPr="003C2996">
        <w:rPr>
          <w:rFonts w:hint="eastAsia"/>
          <w:lang w:eastAsia="zh-CN"/>
        </w:rPr>
        <w:t>1966-1976</w:t>
      </w:r>
      <w:r w:rsidRPr="003C2996">
        <w:rPr>
          <w:rFonts w:hint="eastAsia"/>
          <w:lang w:eastAsia="zh-CN"/>
        </w:rPr>
        <w:t>）。他呼吁中国的年轻人加入到红卫兵的队伍里，清除任何疑为不忠于毛泽东和共产主义事业的人。这导致了在学校、村庄、文化机构里甚至家庭成员之间难以计数的批斗会和暴乱。结果，大范围的混乱、猜忌和暴力接踵而至。毛的文化大革命以一种贻害无穷的扭曲，将孩子置于与父母对立的位置上，这导致了家庭结构的削弱。到</w:t>
      </w:r>
      <w:r w:rsidRPr="003C2996">
        <w:rPr>
          <w:rFonts w:hint="eastAsia"/>
          <w:lang w:eastAsia="zh-CN"/>
        </w:rPr>
        <w:t>1966</w:t>
      </w:r>
      <w:r w:rsidRPr="003C2996">
        <w:rPr>
          <w:rFonts w:hint="eastAsia"/>
          <w:lang w:eastAsia="zh-CN"/>
        </w:rPr>
        <w:t>年底，毛泽东的文化大革命致使所有的教堂关闭</w:t>
      </w:r>
      <w:r w:rsidR="00992238">
        <w:rPr>
          <w:rStyle w:val="FootnoteReference"/>
          <w:lang w:eastAsia="zh-CN"/>
        </w:rPr>
        <w:footnoteReference w:id="98"/>
      </w:r>
      <w:r w:rsidRPr="003C2996">
        <w:rPr>
          <w:rFonts w:hint="eastAsia"/>
          <w:lang w:eastAsia="zh-CN"/>
        </w:rPr>
        <w:t>。</w:t>
      </w:r>
      <w:r w:rsidRPr="003C2996">
        <w:rPr>
          <w:rFonts w:hint="eastAsia"/>
          <w:lang w:eastAsia="zh-CN"/>
        </w:rPr>
        <w:t>1960</w:t>
      </w:r>
      <w:r w:rsidRPr="003C2996">
        <w:rPr>
          <w:rFonts w:hint="eastAsia"/>
          <w:lang w:eastAsia="zh-CN"/>
        </w:rPr>
        <w:t>年代末，毛泽东制定了一项全国性的政策：清除所有的宗教信仰</w:t>
      </w:r>
      <w:r w:rsidR="00992238">
        <w:rPr>
          <w:rStyle w:val="FootnoteReference"/>
          <w:lang w:eastAsia="zh-CN"/>
        </w:rPr>
        <w:footnoteReference w:id="99"/>
      </w:r>
      <w:r w:rsidRPr="003C2996">
        <w:rPr>
          <w:rFonts w:hint="eastAsia"/>
          <w:lang w:eastAsia="zh-CN"/>
        </w:rPr>
        <w:t>，</w:t>
      </w:r>
      <w:r w:rsidR="00992238">
        <w:rPr>
          <w:rFonts w:hint="eastAsia"/>
          <w:lang w:eastAsia="zh-CN"/>
        </w:rPr>
        <w:t>最后甚至</w:t>
      </w:r>
      <w:r w:rsidRPr="003C2996">
        <w:rPr>
          <w:rFonts w:hint="eastAsia"/>
          <w:lang w:eastAsia="zh-CN"/>
        </w:rPr>
        <w:t>关闭</w:t>
      </w:r>
      <w:r w:rsidR="00992238">
        <w:rPr>
          <w:rFonts w:hint="eastAsia"/>
          <w:lang w:eastAsia="zh-CN"/>
        </w:rPr>
        <w:t>了</w:t>
      </w:r>
      <w:r w:rsidRPr="003C2996">
        <w:rPr>
          <w:rFonts w:hint="eastAsia"/>
          <w:lang w:eastAsia="zh-CN"/>
        </w:rPr>
        <w:t>三自</w:t>
      </w:r>
      <w:r w:rsidR="002358F7">
        <w:rPr>
          <w:rStyle w:val="FootnoteReference"/>
          <w:lang w:eastAsia="zh-CN"/>
        </w:rPr>
        <w:footnoteReference w:id="100"/>
      </w:r>
      <w:r w:rsidRPr="003C2996">
        <w:rPr>
          <w:rFonts w:hint="eastAsia"/>
          <w:lang w:eastAsia="zh-CN"/>
        </w:rPr>
        <w:t>。</w:t>
      </w:r>
    </w:p>
    <w:p w14:paraId="45C18D2D" w14:textId="7D8D98C7" w:rsidR="003C2996" w:rsidRPr="003C2996" w:rsidRDefault="003C2996" w:rsidP="003C2996">
      <w:pPr>
        <w:rPr>
          <w:lang w:eastAsia="zh-CN"/>
        </w:rPr>
      </w:pPr>
      <w:r w:rsidRPr="003C2996">
        <w:rPr>
          <w:rFonts w:hint="eastAsia"/>
          <w:lang w:eastAsia="zh-CN"/>
        </w:rPr>
        <w:t>随着毛泽东的去世，文化大革命在</w:t>
      </w:r>
      <w:r w:rsidRPr="003C2996">
        <w:rPr>
          <w:rFonts w:hint="eastAsia"/>
          <w:lang w:eastAsia="zh-CN"/>
        </w:rPr>
        <w:t>1976</w:t>
      </w:r>
      <w:r w:rsidRPr="003C2996">
        <w:rPr>
          <w:rFonts w:hint="eastAsia"/>
          <w:lang w:eastAsia="zh-CN"/>
        </w:rPr>
        <w:t>年结束，仅文革期间就有大约</w:t>
      </w:r>
      <w:r w:rsidRPr="003C2996">
        <w:rPr>
          <w:rFonts w:hint="eastAsia"/>
          <w:lang w:eastAsia="zh-CN"/>
        </w:rPr>
        <w:t>100-300</w:t>
      </w:r>
      <w:r w:rsidRPr="003C2996">
        <w:rPr>
          <w:rFonts w:hint="eastAsia"/>
          <w:lang w:eastAsia="zh-CN"/>
        </w:rPr>
        <w:t>万人死亡，还有差不多同样多的人受到了永久性伤害</w:t>
      </w:r>
      <w:r w:rsidR="002358F7">
        <w:rPr>
          <w:rStyle w:val="FootnoteReference"/>
          <w:lang w:eastAsia="zh-CN"/>
        </w:rPr>
        <w:footnoteReference w:id="101"/>
      </w:r>
      <w:r w:rsidRPr="003C2996">
        <w:rPr>
          <w:rFonts w:hint="eastAsia"/>
          <w:lang w:eastAsia="zh-CN"/>
        </w:rPr>
        <w:t>。大跃进和文化大革命使毛泽东生命的最后</w:t>
      </w:r>
      <w:r w:rsidRPr="003C2996">
        <w:rPr>
          <w:rFonts w:hint="eastAsia"/>
          <w:lang w:eastAsia="zh-CN"/>
        </w:rPr>
        <w:t>20</w:t>
      </w:r>
      <w:r w:rsidRPr="003C2996">
        <w:rPr>
          <w:rFonts w:hint="eastAsia"/>
          <w:lang w:eastAsia="zh-CN"/>
        </w:rPr>
        <w:t>年成为中国历史上宗教迫害最严重的时期</w:t>
      </w:r>
      <w:r w:rsidR="002358F7">
        <w:rPr>
          <w:rStyle w:val="FootnoteReference"/>
          <w:lang w:eastAsia="zh-CN"/>
        </w:rPr>
        <w:footnoteReference w:id="102"/>
      </w:r>
      <w:r w:rsidRPr="003C2996">
        <w:rPr>
          <w:rFonts w:hint="eastAsia"/>
          <w:lang w:eastAsia="zh-CN"/>
        </w:rPr>
        <w:t>。从</w:t>
      </w:r>
      <w:r w:rsidRPr="003C2996">
        <w:rPr>
          <w:rFonts w:hint="eastAsia"/>
          <w:lang w:eastAsia="zh-CN"/>
        </w:rPr>
        <w:t>1967</w:t>
      </w:r>
      <w:r w:rsidRPr="003C2996">
        <w:rPr>
          <w:rFonts w:hint="eastAsia"/>
          <w:lang w:eastAsia="zh-CN"/>
        </w:rPr>
        <w:t>年到</w:t>
      </w:r>
      <w:r w:rsidRPr="003C2996">
        <w:rPr>
          <w:rFonts w:hint="eastAsia"/>
          <w:lang w:eastAsia="zh-CN"/>
        </w:rPr>
        <w:t>1977</w:t>
      </w:r>
      <w:r w:rsidRPr="003C2996">
        <w:rPr>
          <w:rFonts w:hint="eastAsia"/>
          <w:lang w:eastAsia="zh-CN"/>
        </w:rPr>
        <w:t>年，虽然这十年对于中国教会而言基本上是一个没有任何文件、统计数据等资料的历史黑洞</w:t>
      </w:r>
      <w:r w:rsidR="002358F7">
        <w:rPr>
          <w:rStyle w:val="FootnoteReference"/>
          <w:lang w:eastAsia="zh-CN"/>
        </w:rPr>
        <w:footnoteReference w:id="103"/>
      </w:r>
      <w:r w:rsidRPr="003C2996">
        <w:rPr>
          <w:rFonts w:hint="eastAsia"/>
          <w:lang w:eastAsia="zh-CN"/>
        </w:rPr>
        <w:t>，但未来的岁月会毫无疑问地证明：教会在这段时间里有着相当大的发展。</w:t>
      </w:r>
    </w:p>
    <w:p w14:paraId="2D51CB58" w14:textId="77777777" w:rsidR="003C2996" w:rsidRPr="003C2996" w:rsidRDefault="003C2996" w:rsidP="00992238">
      <w:pPr>
        <w:pStyle w:val="Heading2"/>
        <w:rPr>
          <w:lang w:val="en" w:eastAsia="zh-CN"/>
        </w:rPr>
      </w:pPr>
      <w:bookmarkStart w:id="18" w:name="_agc5rjijbaf3" w:colFirst="0" w:colLast="0"/>
      <w:bookmarkStart w:id="19" w:name="_Hlk46824336"/>
      <w:bookmarkEnd w:id="18"/>
      <w:r w:rsidRPr="003C2996">
        <w:rPr>
          <w:rFonts w:hint="eastAsia"/>
          <w:lang w:eastAsia="zh-CN"/>
        </w:rPr>
        <w:t>改革开放</w:t>
      </w:r>
    </w:p>
    <w:bookmarkEnd w:id="19"/>
    <w:p w14:paraId="35F2BA33" w14:textId="310E35D5" w:rsidR="003C2996" w:rsidRPr="003C2996" w:rsidRDefault="003C2996" w:rsidP="003C2996">
      <w:pPr>
        <w:rPr>
          <w:lang w:eastAsia="zh-CN"/>
        </w:rPr>
      </w:pPr>
      <w:r w:rsidRPr="003C2996">
        <w:rPr>
          <w:rFonts w:hint="eastAsia"/>
          <w:lang w:eastAsia="zh-CN"/>
        </w:rPr>
        <w:t>毛泽东去世后，在邓小平的领导下，一个向西方开放和放松内部控制的时期随之而来。许多教堂重新开放，三自再次出现</w:t>
      </w:r>
      <w:r w:rsidR="00992238">
        <w:rPr>
          <w:rFonts w:hint="eastAsia"/>
          <w:lang w:eastAsia="zh-CN"/>
        </w:rPr>
        <w:t>并试图</w:t>
      </w:r>
      <w:r w:rsidRPr="003C2996">
        <w:rPr>
          <w:rFonts w:hint="eastAsia"/>
          <w:lang w:eastAsia="zh-CN"/>
        </w:rPr>
        <w:t>管理中国</w:t>
      </w:r>
      <w:r w:rsidR="00992238">
        <w:rPr>
          <w:rFonts w:hint="eastAsia"/>
          <w:lang w:eastAsia="zh-CN"/>
        </w:rPr>
        <w:t>的基督教教会</w:t>
      </w:r>
      <w:r w:rsidRPr="003C2996">
        <w:rPr>
          <w:rFonts w:hint="eastAsia"/>
          <w:lang w:eastAsia="zh-CN"/>
        </w:rPr>
        <w:t>。到</w:t>
      </w:r>
      <w:r w:rsidRPr="003C2996">
        <w:rPr>
          <w:rFonts w:hint="eastAsia"/>
          <w:lang w:eastAsia="zh-CN"/>
        </w:rPr>
        <w:t>1970</w:t>
      </w:r>
      <w:r w:rsidRPr="003C2996">
        <w:rPr>
          <w:rFonts w:hint="eastAsia"/>
          <w:lang w:eastAsia="zh-CN"/>
        </w:rPr>
        <w:t>年代末，基督徒人数迅速增长，共计约有</w:t>
      </w:r>
      <w:r w:rsidRPr="003C2996">
        <w:rPr>
          <w:rFonts w:hint="eastAsia"/>
          <w:lang w:eastAsia="zh-CN"/>
        </w:rPr>
        <w:t>500-600</w:t>
      </w:r>
      <w:r w:rsidRPr="003C2996">
        <w:rPr>
          <w:rFonts w:hint="eastAsia"/>
          <w:lang w:eastAsia="zh-CN"/>
        </w:rPr>
        <w:t>万人</w:t>
      </w:r>
      <w:r w:rsidR="00992238">
        <w:rPr>
          <w:rStyle w:val="FootnoteReference"/>
          <w:lang w:eastAsia="zh-CN"/>
        </w:rPr>
        <w:footnoteReference w:id="104"/>
      </w:r>
      <w:r w:rsidRPr="003C2996">
        <w:rPr>
          <w:rFonts w:hint="eastAsia"/>
          <w:lang w:eastAsia="zh-CN"/>
        </w:rPr>
        <w:t>。回顾文化大革命这段最黑暗的时期，很明显基督教会的规模在这期间增长了三到六倍</w:t>
      </w:r>
      <w:r w:rsidR="00992238">
        <w:rPr>
          <w:rFonts w:hint="eastAsia"/>
          <w:lang w:eastAsia="zh-CN"/>
        </w:rPr>
        <w:t>左右</w:t>
      </w:r>
      <w:r w:rsidR="00992238">
        <w:rPr>
          <w:rStyle w:val="FootnoteReference"/>
          <w:lang w:eastAsia="zh-CN"/>
        </w:rPr>
        <w:footnoteReference w:id="105"/>
      </w:r>
      <w:r w:rsidRPr="003C2996">
        <w:rPr>
          <w:rFonts w:hint="eastAsia"/>
          <w:lang w:eastAsia="zh-CN"/>
        </w:rPr>
        <w:t>。</w:t>
      </w:r>
    </w:p>
    <w:p w14:paraId="3BDDF817" w14:textId="77777777" w:rsidR="003C2996" w:rsidRPr="003C2996" w:rsidRDefault="003C2996" w:rsidP="00992238">
      <w:pPr>
        <w:pStyle w:val="Heading2"/>
        <w:rPr>
          <w:lang w:val="en" w:eastAsia="zh-CN"/>
        </w:rPr>
      </w:pPr>
      <w:bookmarkStart w:id="20" w:name="_geb52jzciauz" w:colFirst="0" w:colLast="0"/>
      <w:bookmarkStart w:id="21" w:name="_Hlk46824345"/>
      <w:bookmarkEnd w:id="20"/>
      <w:r w:rsidRPr="003C2996">
        <w:rPr>
          <w:rFonts w:hint="eastAsia"/>
          <w:lang w:eastAsia="zh-CN"/>
        </w:rPr>
        <w:t>现今</w:t>
      </w:r>
    </w:p>
    <w:bookmarkEnd w:id="21"/>
    <w:p w14:paraId="4D8361B9" w14:textId="20708DE7" w:rsidR="003C2996" w:rsidRPr="003C2996" w:rsidRDefault="003C2996" w:rsidP="003C2996">
      <w:pPr>
        <w:rPr>
          <w:lang w:eastAsia="zh-CN"/>
        </w:rPr>
      </w:pPr>
      <w:r w:rsidRPr="003C2996">
        <w:rPr>
          <w:rFonts w:hint="eastAsia"/>
          <w:lang w:eastAsia="zh-CN"/>
        </w:rPr>
        <w:t>从邓小平领导下的改革开放到今天，教会在持续不断地发展。审视中国基督教现在的局面，有两个至关重要的对比：</w:t>
      </w:r>
      <w:r w:rsidR="00992238">
        <w:rPr>
          <w:rFonts w:hint="eastAsia"/>
          <w:lang w:eastAsia="zh-CN"/>
        </w:rPr>
        <w:t>第一，</w:t>
      </w:r>
      <w:r w:rsidRPr="003C2996">
        <w:rPr>
          <w:rFonts w:hint="eastAsia"/>
          <w:lang w:eastAsia="zh-CN"/>
        </w:rPr>
        <w:t>合法的与非法的。</w:t>
      </w:r>
      <w:r w:rsidRPr="003C2996">
        <w:rPr>
          <w:rFonts w:hint="eastAsia"/>
          <w:lang w:eastAsia="zh-CN"/>
        </w:rPr>
        <w:t>1982</w:t>
      </w:r>
      <w:r w:rsidRPr="003C2996">
        <w:rPr>
          <w:rFonts w:hint="eastAsia"/>
          <w:lang w:eastAsia="zh-CN"/>
        </w:rPr>
        <w:t>年</w:t>
      </w:r>
      <w:r w:rsidRPr="003C2996">
        <w:rPr>
          <w:rFonts w:hint="eastAsia"/>
          <w:lang w:eastAsia="zh-CN"/>
        </w:rPr>
        <w:t>3</w:t>
      </w:r>
      <w:r w:rsidRPr="003C2996">
        <w:rPr>
          <w:rFonts w:hint="eastAsia"/>
          <w:lang w:eastAsia="zh-CN"/>
        </w:rPr>
        <w:t>月发布的</w:t>
      </w:r>
      <w:r w:rsidR="00992238">
        <w:rPr>
          <w:rFonts w:hint="eastAsia"/>
          <w:lang w:eastAsia="zh-CN"/>
        </w:rPr>
        <w:t>中央</w:t>
      </w:r>
      <w:r w:rsidRPr="003C2996">
        <w:rPr>
          <w:rFonts w:hint="eastAsia"/>
          <w:lang w:eastAsia="zh-CN"/>
        </w:rPr>
        <w:t>19</w:t>
      </w:r>
      <w:r w:rsidRPr="003C2996">
        <w:rPr>
          <w:rFonts w:hint="eastAsia"/>
          <w:lang w:eastAsia="zh-CN"/>
        </w:rPr>
        <w:t>号文件阐明了三自的官方政策：拒绝未登记的家庭教会，并要求全国所有基督教教会</w:t>
      </w:r>
      <w:r w:rsidR="00992238">
        <w:rPr>
          <w:rFonts w:hint="eastAsia"/>
          <w:lang w:eastAsia="zh-CN"/>
        </w:rPr>
        <w:t>进行加入三自的</w:t>
      </w:r>
      <w:r w:rsidRPr="003C2996">
        <w:rPr>
          <w:rFonts w:hint="eastAsia"/>
          <w:lang w:eastAsia="zh-CN"/>
        </w:rPr>
        <w:t>登记</w:t>
      </w:r>
      <w:r w:rsidR="00992238">
        <w:rPr>
          <w:rStyle w:val="FootnoteReference"/>
          <w:lang w:eastAsia="zh-CN"/>
        </w:rPr>
        <w:footnoteReference w:id="106"/>
      </w:r>
      <w:r w:rsidRPr="003C2996">
        <w:rPr>
          <w:rFonts w:hint="eastAsia"/>
          <w:lang w:eastAsia="zh-CN"/>
        </w:rPr>
        <w:t>。多数情况下，特别是在城市，政府倾向于不对未注册的教会进行严厉打击，除非他们一次聚会的人数超过</w:t>
      </w:r>
      <w:r w:rsidRPr="003C2996">
        <w:rPr>
          <w:rFonts w:hint="eastAsia"/>
          <w:lang w:eastAsia="zh-CN"/>
        </w:rPr>
        <w:t>150-200</w:t>
      </w:r>
      <w:r w:rsidRPr="003C2996">
        <w:rPr>
          <w:rFonts w:hint="eastAsia"/>
          <w:lang w:eastAsia="zh-CN"/>
        </w:rPr>
        <w:t>人</w:t>
      </w:r>
      <w:r w:rsidR="002358F7">
        <w:rPr>
          <w:rStyle w:val="FootnoteReference"/>
          <w:lang w:eastAsia="zh-CN"/>
        </w:rPr>
        <w:footnoteReference w:id="107"/>
      </w:r>
      <w:r w:rsidRPr="003C2996">
        <w:rPr>
          <w:rFonts w:hint="eastAsia"/>
          <w:lang w:eastAsia="zh-CN"/>
        </w:rPr>
        <w:t>。</w:t>
      </w:r>
      <w:r w:rsidR="002358F7">
        <w:rPr>
          <w:rFonts w:hint="eastAsia"/>
          <w:lang w:eastAsia="zh-CN"/>
        </w:rPr>
        <w:t>第二，</w:t>
      </w:r>
      <w:r w:rsidRPr="003C2996">
        <w:rPr>
          <w:rFonts w:hint="eastAsia"/>
          <w:lang w:eastAsia="zh-CN"/>
        </w:rPr>
        <w:t>国内的与国际的。中国政府的政策是其公民不能与外国人混在一起做礼拜。因此，中国公民不应该参加国际教会，不论</w:t>
      </w:r>
      <w:r w:rsidR="002358F7">
        <w:rPr>
          <w:rFonts w:hint="eastAsia"/>
          <w:lang w:eastAsia="zh-CN"/>
        </w:rPr>
        <w:t>这间国际教会</w:t>
      </w:r>
      <w:r w:rsidRPr="003C2996">
        <w:rPr>
          <w:rFonts w:hint="eastAsia"/>
          <w:lang w:eastAsia="zh-CN"/>
        </w:rPr>
        <w:t>是否</w:t>
      </w:r>
      <w:r w:rsidR="002358F7">
        <w:rPr>
          <w:rFonts w:hint="eastAsia"/>
          <w:lang w:eastAsia="zh-CN"/>
        </w:rPr>
        <w:t>已经</w:t>
      </w:r>
      <w:r w:rsidRPr="003C2996">
        <w:rPr>
          <w:rFonts w:hint="eastAsia"/>
          <w:lang w:eastAsia="zh-CN"/>
        </w:rPr>
        <w:t>在三自注册。</w:t>
      </w:r>
    </w:p>
    <w:p w14:paraId="4448C81B" w14:textId="00AEC4EC" w:rsidR="003C2996" w:rsidRPr="003C2996" w:rsidRDefault="003C2996" w:rsidP="003C2996">
      <w:pPr>
        <w:rPr>
          <w:lang w:eastAsia="zh-CN"/>
        </w:rPr>
      </w:pPr>
      <w:r w:rsidRPr="003C2996">
        <w:rPr>
          <w:rFonts w:hint="eastAsia"/>
          <w:lang w:eastAsia="zh-CN"/>
        </w:rPr>
        <w:t>在研究</w:t>
      </w:r>
      <w:r w:rsidR="002358F7">
        <w:rPr>
          <w:rFonts w:hint="eastAsia"/>
          <w:lang w:eastAsia="zh-CN"/>
        </w:rPr>
        <w:t>地下状态</w:t>
      </w:r>
      <w:r w:rsidRPr="003C2996">
        <w:rPr>
          <w:rFonts w:hint="eastAsia"/>
          <w:lang w:eastAsia="zh-CN"/>
        </w:rPr>
        <w:t>的家庭教会时，虽然其组成有相当大的差异，但有两个共同的特点。</w:t>
      </w:r>
      <w:r w:rsidR="002358F7">
        <w:rPr>
          <w:rFonts w:hint="eastAsia"/>
          <w:lang w:eastAsia="zh-CN"/>
        </w:rPr>
        <w:t>第一，</w:t>
      </w:r>
      <w:r w:rsidRPr="003C2996">
        <w:rPr>
          <w:rFonts w:hint="eastAsia"/>
          <w:lang w:eastAsia="zh-CN"/>
        </w:rPr>
        <w:t>政府</w:t>
      </w:r>
      <w:r w:rsidR="002358F7">
        <w:rPr>
          <w:rFonts w:hint="eastAsia"/>
          <w:lang w:eastAsia="zh-CN"/>
        </w:rPr>
        <w:t>的</w:t>
      </w:r>
      <w:r w:rsidRPr="003C2996">
        <w:rPr>
          <w:rFonts w:hint="eastAsia"/>
          <w:lang w:eastAsia="zh-CN"/>
        </w:rPr>
        <w:t>管制</w:t>
      </w:r>
      <w:r w:rsidR="002358F7">
        <w:rPr>
          <w:rFonts w:hint="eastAsia"/>
          <w:lang w:eastAsia="zh-CN"/>
        </w:rPr>
        <w:t>带来一些共同特点。</w:t>
      </w:r>
      <w:r w:rsidRPr="003C2996">
        <w:rPr>
          <w:rFonts w:hint="eastAsia"/>
          <w:lang w:eastAsia="zh-CN"/>
        </w:rPr>
        <w:t>尽管作为非法教会所带来的后果不胜枚举，但有一些常见的后果：（</w:t>
      </w:r>
      <w:r w:rsidRPr="003C2996">
        <w:rPr>
          <w:rFonts w:hint="eastAsia"/>
          <w:lang w:eastAsia="zh-CN"/>
        </w:rPr>
        <w:t>a</w:t>
      </w:r>
      <w:r w:rsidRPr="003C2996">
        <w:rPr>
          <w:rFonts w:hint="eastAsia"/>
          <w:lang w:eastAsia="zh-CN"/>
        </w:rPr>
        <w:t>）由于教会受到规模的约束，很难支持全职牧者，这意味着教会需要依赖带职事奉的牧师。但他们的时</w:t>
      </w:r>
      <w:r w:rsidRPr="003C2996">
        <w:rPr>
          <w:rFonts w:hint="eastAsia"/>
          <w:lang w:eastAsia="zh-CN"/>
        </w:rPr>
        <w:lastRenderedPageBreak/>
        <w:t>间有限，这使得像讲道和门训这样基本的事工都难以维持。对于能够支持一个全职牧师的教会来说，通常有多个聚会点，这就意味着牧师不能花很长时间与一个地方的</w:t>
      </w:r>
      <w:r w:rsidR="002358F7">
        <w:rPr>
          <w:rFonts w:hint="eastAsia"/>
          <w:lang w:eastAsia="zh-CN"/>
        </w:rPr>
        <w:t>会众</w:t>
      </w:r>
      <w:r w:rsidRPr="003C2996">
        <w:rPr>
          <w:rFonts w:hint="eastAsia"/>
          <w:lang w:eastAsia="zh-CN"/>
        </w:rPr>
        <w:t>交流</w:t>
      </w:r>
      <w:r w:rsidR="002358F7">
        <w:rPr>
          <w:rFonts w:hint="eastAsia"/>
          <w:lang w:eastAsia="zh-CN"/>
        </w:rPr>
        <w:t>和建立关系</w:t>
      </w:r>
      <w:r w:rsidRPr="003C2996">
        <w:rPr>
          <w:rFonts w:hint="eastAsia"/>
          <w:lang w:eastAsia="zh-CN"/>
        </w:rPr>
        <w:t>。（</w:t>
      </w:r>
      <w:r w:rsidRPr="003C2996">
        <w:rPr>
          <w:lang w:eastAsia="zh-CN"/>
        </w:rPr>
        <w:t>b</w:t>
      </w:r>
      <w:r w:rsidRPr="003C2996">
        <w:rPr>
          <w:rFonts w:hint="eastAsia"/>
          <w:lang w:eastAsia="zh-CN"/>
        </w:rPr>
        <w:t>）租房难。（</w:t>
      </w:r>
      <w:r w:rsidRPr="003C2996">
        <w:rPr>
          <w:rFonts w:hint="eastAsia"/>
          <w:lang w:eastAsia="zh-CN"/>
        </w:rPr>
        <w:t>c</w:t>
      </w:r>
      <w:r w:rsidRPr="003C2996">
        <w:rPr>
          <w:rFonts w:hint="eastAsia"/>
          <w:lang w:eastAsia="zh-CN"/>
        </w:rPr>
        <w:t>）无力购买房产。（</w:t>
      </w:r>
      <w:r w:rsidRPr="003C2996">
        <w:rPr>
          <w:lang w:eastAsia="zh-CN"/>
        </w:rPr>
        <w:t>d</w:t>
      </w:r>
      <w:r w:rsidRPr="003C2996">
        <w:rPr>
          <w:rFonts w:hint="eastAsia"/>
          <w:lang w:eastAsia="zh-CN"/>
        </w:rPr>
        <w:t>）邀请别人到教会的困难和谨慎。</w:t>
      </w:r>
      <w:r w:rsidR="002358F7">
        <w:rPr>
          <w:rFonts w:hint="eastAsia"/>
          <w:lang w:eastAsia="zh-CN"/>
        </w:rPr>
        <w:t>第二，</w:t>
      </w:r>
      <w:r w:rsidRPr="003C2996">
        <w:rPr>
          <w:rFonts w:hint="eastAsia"/>
          <w:lang w:eastAsia="zh-CN"/>
        </w:rPr>
        <w:t>缺乏训练。家庭教会的领袖们接受神学训练的方式有：</w:t>
      </w:r>
      <w:r w:rsidR="002358F7">
        <w:rPr>
          <w:rFonts w:hint="eastAsia"/>
          <w:lang w:eastAsia="zh-CN"/>
        </w:rPr>
        <w:t>承认</w:t>
      </w:r>
      <w:r w:rsidRPr="003C2996">
        <w:rPr>
          <w:rFonts w:hint="eastAsia"/>
          <w:lang w:eastAsia="zh-CN"/>
        </w:rPr>
        <w:t>主日学、在香港等地的暑假项目、学生一次去</w:t>
      </w:r>
      <w:r w:rsidR="002358F7">
        <w:rPr>
          <w:rFonts w:hint="eastAsia"/>
          <w:lang w:eastAsia="zh-CN"/>
        </w:rPr>
        <w:t>某个</w:t>
      </w:r>
      <w:r w:rsidRPr="003C2996">
        <w:rPr>
          <w:rFonts w:hint="eastAsia"/>
          <w:lang w:eastAsia="zh-CN"/>
        </w:rPr>
        <w:t>大城市待几周的地下神学院，以及通过像戈登</w:t>
      </w:r>
      <w:r w:rsidRPr="003C2996">
        <w:rPr>
          <w:rFonts w:hint="eastAsia"/>
          <w:lang w:eastAsia="zh-CN"/>
        </w:rPr>
        <w:t>-</w:t>
      </w:r>
      <w:r w:rsidRPr="003C2996">
        <w:rPr>
          <w:rFonts w:hint="eastAsia"/>
          <w:lang w:eastAsia="zh-CN"/>
        </w:rPr>
        <w:t>康维尔等神学院开设的网络中文课程进行学习。尽管如此，中国神学教育的整体质量和有效性远远落后于其他较开放的国家。</w:t>
      </w:r>
    </w:p>
    <w:p w14:paraId="37317BBE" w14:textId="11FF461D" w:rsidR="003C2996" w:rsidRPr="003C2996" w:rsidRDefault="002358F7" w:rsidP="002358F7">
      <w:pPr>
        <w:pStyle w:val="Heading1"/>
        <w:rPr>
          <w:lang w:val="en" w:eastAsia="zh-CN"/>
        </w:rPr>
      </w:pPr>
      <w:bookmarkStart w:id="22" w:name="_5texmr14fyxx" w:colFirst="0" w:colLast="0"/>
      <w:bookmarkStart w:id="23" w:name="_Hlk46824366"/>
      <w:bookmarkEnd w:id="22"/>
      <w:r>
        <w:rPr>
          <w:rFonts w:hint="eastAsia"/>
          <w:lang w:eastAsia="zh-CN"/>
        </w:rPr>
        <w:t>总结</w:t>
      </w:r>
    </w:p>
    <w:p w14:paraId="0064E9E4" w14:textId="35FDA0F8" w:rsidR="003C2996" w:rsidRPr="003C2996" w:rsidRDefault="003C2996" w:rsidP="00AD7E35">
      <w:pPr>
        <w:pStyle w:val="Heading2"/>
        <w:rPr>
          <w:lang w:val="en" w:eastAsia="zh-CN"/>
        </w:rPr>
      </w:pPr>
      <w:bookmarkStart w:id="24" w:name="_pa508q2gpu8r" w:colFirst="0" w:colLast="0"/>
      <w:bookmarkEnd w:id="24"/>
      <w:r w:rsidRPr="003C2996">
        <w:rPr>
          <w:rFonts w:hint="eastAsia"/>
          <w:lang w:eastAsia="zh-CN"/>
        </w:rPr>
        <w:t>从中国教会</w:t>
      </w:r>
      <w:r w:rsidRPr="00AD7E35">
        <w:rPr>
          <w:rFonts w:hint="eastAsia"/>
          <w:lang w:eastAsia="zh-CN"/>
        </w:rPr>
        <w:t>历史</w:t>
      </w:r>
      <w:r w:rsidR="002358F7" w:rsidRPr="00AD7E35">
        <w:rPr>
          <w:rFonts w:hint="eastAsia"/>
          <w:lang w:eastAsia="zh-CN"/>
        </w:rPr>
        <w:t>学</w:t>
      </w:r>
      <w:r w:rsidR="002358F7">
        <w:rPr>
          <w:rFonts w:hint="eastAsia"/>
          <w:lang w:eastAsia="zh-CN"/>
        </w:rPr>
        <w:t>到的功课</w:t>
      </w:r>
      <w:r w:rsidR="002358F7" w:rsidRPr="003C2996">
        <w:rPr>
          <w:lang w:val="en" w:eastAsia="zh-CN"/>
        </w:rPr>
        <w:t xml:space="preserve"> </w:t>
      </w:r>
    </w:p>
    <w:bookmarkEnd w:id="23"/>
    <w:p w14:paraId="3A6D7658" w14:textId="33442CD4" w:rsidR="003C2996" w:rsidRPr="003C2996" w:rsidRDefault="003C2996" w:rsidP="003C2996">
      <w:pPr>
        <w:rPr>
          <w:lang w:eastAsia="zh-CN"/>
        </w:rPr>
      </w:pPr>
      <w:r w:rsidRPr="003C2996">
        <w:rPr>
          <w:rFonts w:hint="eastAsia"/>
          <w:lang w:eastAsia="zh-CN"/>
        </w:rPr>
        <w:t>尽管中国教会今天面临着诸多挑战，但它的历史是一个激动人心的故事，教会在敌对</w:t>
      </w:r>
      <w:r w:rsidR="002358F7">
        <w:rPr>
          <w:rFonts w:hint="eastAsia"/>
          <w:lang w:eastAsia="zh-CN"/>
        </w:rPr>
        <w:t>环境中</w:t>
      </w:r>
      <w:r w:rsidRPr="003C2996">
        <w:rPr>
          <w:rFonts w:hint="eastAsia"/>
          <w:lang w:eastAsia="zh-CN"/>
        </w:rPr>
        <w:t>中坚忍甚至成长。我们可以从过去</w:t>
      </w:r>
      <w:r w:rsidRPr="003C2996">
        <w:rPr>
          <w:rFonts w:hint="eastAsia"/>
          <w:lang w:eastAsia="zh-CN"/>
        </w:rPr>
        <w:t>200</w:t>
      </w:r>
      <w:r w:rsidRPr="003C2996">
        <w:rPr>
          <w:rFonts w:hint="eastAsia"/>
          <w:lang w:eastAsia="zh-CN"/>
        </w:rPr>
        <w:t>年的中国基督教中学到很多东西，但有几点格外突出。</w:t>
      </w:r>
    </w:p>
    <w:p w14:paraId="1461CF63" w14:textId="2A02A009" w:rsidR="003C2996" w:rsidRPr="003C2996" w:rsidRDefault="002358F7" w:rsidP="003C2996">
      <w:pPr>
        <w:rPr>
          <w:lang w:val="en" w:eastAsia="zh-CN"/>
        </w:rPr>
      </w:pPr>
      <w:r w:rsidRPr="002358F7">
        <w:rPr>
          <w:rFonts w:hint="eastAsia"/>
          <w:b/>
          <w:bCs/>
          <w:lang w:val="en" w:eastAsia="zh-CN"/>
        </w:rPr>
        <w:t>第一，与中国文化建立</w:t>
      </w:r>
      <w:r w:rsidR="003C2996" w:rsidRPr="002358F7">
        <w:rPr>
          <w:rFonts w:hint="eastAsia"/>
          <w:b/>
          <w:bCs/>
          <w:lang w:eastAsia="zh-CN"/>
        </w:rPr>
        <w:t>更为广泛</w:t>
      </w:r>
      <w:r w:rsidRPr="002358F7">
        <w:rPr>
          <w:rFonts w:hint="eastAsia"/>
          <w:b/>
          <w:bCs/>
          <w:lang w:eastAsia="zh-CN"/>
        </w:rPr>
        <w:t>的</w:t>
      </w:r>
      <w:r w:rsidR="003C2996" w:rsidRPr="002358F7">
        <w:rPr>
          <w:rFonts w:hint="eastAsia"/>
          <w:b/>
          <w:bCs/>
          <w:lang w:eastAsia="zh-CN"/>
        </w:rPr>
        <w:t>联系很重要。</w:t>
      </w:r>
      <w:r w:rsidR="003C2996" w:rsidRPr="003C2996">
        <w:rPr>
          <w:rFonts w:hint="eastAsia"/>
          <w:lang w:eastAsia="zh-CN"/>
        </w:rPr>
        <w:t>西方政府的丑恶行为使得中国人民对西方宣教士有着负面的印象，这导致在中国基督教历史上的大部分时间里传教都很困难。一位曾</w:t>
      </w:r>
      <w:r>
        <w:rPr>
          <w:rFonts w:hint="eastAsia"/>
          <w:lang w:eastAsia="zh-CN"/>
        </w:rPr>
        <w:t>在</w:t>
      </w:r>
      <w:r w:rsidR="003C2996" w:rsidRPr="003C2996">
        <w:rPr>
          <w:rFonts w:hint="eastAsia"/>
          <w:lang w:eastAsia="zh-CN"/>
        </w:rPr>
        <w:t>内地会服务过三代宣教工人的女裁缝曾经说，“如果上天堂就是永远与外国人交往，那么这样看来悔改和得救并没什么吸引力。”</w:t>
      </w:r>
      <w:r w:rsidR="00EA074C">
        <w:rPr>
          <w:rStyle w:val="FootnoteReference"/>
          <w:lang w:eastAsia="zh-CN"/>
        </w:rPr>
        <w:footnoteReference w:id="108"/>
      </w:r>
    </w:p>
    <w:p w14:paraId="075DBA6C" w14:textId="52DA9DE0" w:rsidR="003C2996" w:rsidRPr="003C2996" w:rsidRDefault="002358F7" w:rsidP="003C2996">
      <w:pPr>
        <w:rPr>
          <w:lang w:eastAsia="zh-CN"/>
        </w:rPr>
      </w:pPr>
      <w:r w:rsidRPr="002358F7">
        <w:rPr>
          <w:rFonts w:hint="eastAsia"/>
          <w:b/>
          <w:bCs/>
          <w:lang w:val="en" w:eastAsia="zh-CN"/>
        </w:rPr>
        <w:t>第二，</w:t>
      </w:r>
      <w:r w:rsidRPr="002358F7">
        <w:rPr>
          <w:rFonts w:hint="eastAsia"/>
          <w:b/>
          <w:bCs/>
          <w:lang w:eastAsia="zh-CN"/>
        </w:rPr>
        <w:t>自由派</w:t>
      </w:r>
      <w:r w:rsidR="003C2996" w:rsidRPr="002358F7">
        <w:rPr>
          <w:rFonts w:hint="eastAsia"/>
          <w:b/>
          <w:bCs/>
          <w:lang w:eastAsia="zh-CN"/>
        </w:rPr>
        <w:t>基督教无法在迫害中生存。</w:t>
      </w:r>
      <w:r w:rsidR="003C2996" w:rsidRPr="003C2996">
        <w:rPr>
          <w:rFonts w:hint="eastAsia"/>
          <w:lang w:eastAsia="zh-CN"/>
        </w:rPr>
        <w:t>在毛泽东将外国宣教士从中国清除出去前的三十年里，许多西方基督教自由派人士来到中国传播他们的神学。然而，当</w:t>
      </w:r>
      <w:r w:rsidR="003C2996" w:rsidRPr="003C2996">
        <w:rPr>
          <w:rFonts w:hint="eastAsia"/>
          <w:lang w:eastAsia="zh-CN"/>
        </w:rPr>
        <w:t>1978</w:t>
      </w:r>
      <w:r w:rsidR="003C2996" w:rsidRPr="003C2996">
        <w:rPr>
          <w:rFonts w:hint="eastAsia"/>
          <w:lang w:eastAsia="zh-CN"/>
        </w:rPr>
        <w:t>年中国重新开放后，自由派宣教士很少回来，而福音派基督徒却大量涌入中国</w:t>
      </w:r>
      <w:r w:rsidR="00EA074C">
        <w:rPr>
          <w:rStyle w:val="FootnoteReference"/>
          <w:lang w:eastAsia="zh-CN"/>
        </w:rPr>
        <w:footnoteReference w:id="109"/>
      </w:r>
      <w:r w:rsidR="003C2996" w:rsidRPr="003C2996">
        <w:rPr>
          <w:rFonts w:hint="eastAsia"/>
          <w:lang w:eastAsia="zh-CN"/>
        </w:rPr>
        <w:t>。毛的迫害产生了意想不到的后果，在很大程度上使中国摆脱了神学上的自由主义。</w:t>
      </w:r>
    </w:p>
    <w:p w14:paraId="31C57037" w14:textId="62C3FD53" w:rsidR="003C2996" w:rsidRPr="003C2996" w:rsidRDefault="002358F7" w:rsidP="003C2996">
      <w:pPr>
        <w:rPr>
          <w:lang w:eastAsia="zh-CN"/>
        </w:rPr>
      </w:pPr>
      <w:r w:rsidRPr="002358F7">
        <w:rPr>
          <w:rFonts w:hint="eastAsia"/>
          <w:b/>
          <w:bCs/>
          <w:lang w:val="en" w:eastAsia="zh-CN"/>
        </w:rPr>
        <w:t>第三，</w:t>
      </w:r>
      <w:r w:rsidR="003C2996" w:rsidRPr="002358F7">
        <w:rPr>
          <w:rFonts w:hint="eastAsia"/>
          <w:b/>
          <w:bCs/>
          <w:lang w:eastAsia="zh-CN"/>
        </w:rPr>
        <w:t>对于教会来说</w:t>
      </w:r>
      <w:r w:rsidRPr="002358F7">
        <w:rPr>
          <w:rFonts w:hint="eastAsia"/>
          <w:b/>
          <w:bCs/>
          <w:lang w:eastAsia="zh-CN"/>
        </w:rPr>
        <w:t>，</w:t>
      </w:r>
      <w:r w:rsidR="003C2996" w:rsidRPr="002358F7">
        <w:rPr>
          <w:rFonts w:hint="eastAsia"/>
          <w:b/>
          <w:bCs/>
          <w:lang w:eastAsia="zh-CN"/>
        </w:rPr>
        <w:t>迫害并不是不可逾越的障碍。</w:t>
      </w:r>
      <w:r w:rsidR="003C2996" w:rsidRPr="002358F7">
        <w:rPr>
          <w:rFonts w:hint="eastAsia"/>
          <w:lang w:eastAsia="zh-CN"/>
        </w:rPr>
        <w:t>尽</w:t>
      </w:r>
      <w:r w:rsidR="003C2996" w:rsidRPr="003C2996">
        <w:rPr>
          <w:rFonts w:hint="eastAsia"/>
          <w:lang w:eastAsia="zh-CN"/>
        </w:rPr>
        <w:t>管毛在文革期间试图消灭中国的基督教，但是教会在这段强烈的迫害时期以发展壮大而告终。</w:t>
      </w:r>
    </w:p>
    <w:p w14:paraId="7E6EC38C" w14:textId="6C3A50B2" w:rsidR="003C2996" w:rsidRPr="003C2996" w:rsidRDefault="002358F7" w:rsidP="003C2996">
      <w:pPr>
        <w:rPr>
          <w:lang w:eastAsia="zh-CN"/>
        </w:rPr>
      </w:pPr>
      <w:r w:rsidRPr="002358F7">
        <w:rPr>
          <w:rFonts w:hint="eastAsia"/>
          <w:b/>
          <w:bCs/>
          <w:lang w:val="en" w:eastAsia="zh-CN"/>
        </w:rPr>
        <w:t>第四，</w:t>
      </w:r>
      <w:r w:rsidR="003C2996" w:rsidRPr="002358F7">
        <w:rPr>
          <w:rFonts w:hint="eastAsia"/>
          <w:b/>
          <w:bCs/>
          <w:lang w:eastAsia="zh-CN"/>
        </w:rPr>
        <w:t>现代世俗化理论是错误的。</w:t>
      </w:r>
      <w:r w:rsidR="003C2996" w:rsidRPr="003C2996">
        <w:rPr>
          <w:rFonts w:hint="eastAsia"/>
          <w:lang w:eastAsia="zh-CN"/>
        </w:rPr>
        <w:t>著名无神论者丹尼尔·</w:t>
      </w:r>
      <w:r w:rsidR="003C2996" w:rsidRPr="003C2996">
        <w:rPr>
          <w:lang w:eastAsia="zh-CN"/>
        </w:rPr>
        <w:t>C</w:t>
      </w:r>
      <w:r w:rsidR="003C2996" w:rsidRPr="003C2996">
        <w:rPr>
          <w:rFonts w:hint="eastAsia"/>
          <w:lang w:eastAsia="zh-CN"/>
        </w:rPr>
        <w:t>·丹尼特（</w:t>
      </w:r>
      <w:r w:rsidR="003C2996" w:rsidRPr="003C2996">
        <w:rPr>
          <w:lang w:eastAsia="zh-CN"/>
        </w:rPr>
        <w:t>Daniel C. Dennett</w:t>
      </w:r>
      <w:r w:rsidR="003C2996" w:rsidRPr="003C2996">
        <w:rPr>
          <w:rFonts w:hint="eastAsia"/>
          <w:lang w:eastAsia="zh-CN"/>
        </w:rPr>
        <w:t>）于</w:t>
      </w:r>
      <w:r w:rsidR="003C2996" w:rsidRPr="003C2996">
        <w:rPr>
          <w:rFonts w:hint="eastAsia"/>
          <w:lang w:eastAsia="zh-CN"/>
        </w:rPr>
        <w:t>2015</w:t>
      </w:r>
      <w:r w:rsidR="003C2996" w:rsidRPr="003C2996">
        <w:rPr>
          <w:rFonts w:hint="eastAsia"/>
          <w:lang w:eastAsia="zh-CN"/>
        </w:rPr>
        <w:t>年</w:t>
      </w:r>
      <w:r w:rsidR="003C2996" w:rsidRPr="003C2996">
        <w:rPr>
          <w:rFonts w:hint="eastAsia"/>
          <w:lang w:eastAsia="zh-CN"/>
        </w:rPr>
        <w:t>4</w:t>
      </w:r>
      <w:r w:rsidR="003C2996" w:rsidRPr="003C2996">
        <w:rPr>
          <w:rFonts w:hint="eastAsia"/>
          <w:lang w:eastAsia="zh-CN"/>
        </w:rPr>
        <w:t>月在《华尔街日报》上发表了一篇题为《为什么宗教的未来一片黯淡》（</w:t>
      </w:r>
      <w:r w:rsidR="003C2996" w:rsidRPr="002358F7">
        <w:rPr>
          <w:i/>
          <w:iCs/>
          <w:lang w:eastAsia="zh-CN"/>
        </w:rPr>
        <w:t>Why the Future of Religion is Bleak</w:t>
      </w:r>
      <w:r w:rsidR="003C2996" w:rsidRPr="003C2996">
        <w:rPr>
          <w:rFonts w:hint="eastAsia"/>
          <w:lang w:eastAsia="zh-CN"/>
        </w:rPr>
        <w:t>）的文章，文中指出，“几乎没有任何显著的例外，只要人类的安全和福祉得到提升，宗教就会衰退。”然而中国，更不用说韩国和部分非洲国家，提供了引人注目的反面例子。</w:t>
      </w:r>
    </w:p>
    <w:p w14:paraId="7A50BC54" w14:textId="752E090B" w:rsidR="003C2996" w:rsidRPr="003C2996" w:rsidRDefault="002358F7" w:rsidP="003C2996">
      <w:pPr>
        <w:rPr>
          <w:lang w:eastAsia="zh-CN"/>
        </w:rPr>
      </w:pPr>
      <w:r w:rsidRPr="002358F7">
        <w:rPr>
          <w:rFonts w:hint="eastAsia"/>
          <w:b/>
          <w:bCs/>
          <w:lang w:val="en" w:eastAsia="zh-CN"/>
        </w:rPr>
        <w:t>第五，</w:t>
      </w:r>
      <w:r w:rsidR="003C2996" w:rsidRPr="002358F7">
        <w:rPr>
          <w:rFonts w:hint="eastAsia"/>
          <w:b/>
          <w:bCs/>
          <w:lang w:eastAsia="zh-CN"/>
        </w:rPr>
        <w:t>神学训练的重要性。</w:t>
      </w:r>
      <w:r w:rsidR="003C2996" w:rsidRPr="003C2996">
        <w:rPr>
          <w:rFonts w:hint="eastAsia"/>
          <w:lang w:eastAsia="zh-CN"/>
        </w:rPr>
        <w:t>对当地信徒进行神学训练而不仅仅是传福音使其信主，这对地方教会的长期健康发展至关重要。在宣教的第一个世纪，由于</w:t>
      </w:r>
      <w:r>
        <w:rPr>
          <w:rFonts w:hint="eastAsia"/>
          <w:lang w:eastAsia="zh-CN"/>
        </w:rPr>
        <w:t>总体上</w:t>
      </w:r>
      <w:r w:rsidR="003C2996" w:rsidRPr="003C2996">
        <w:rPr>
          <w:rFonts w:hint="eastAsia"/>
          <w:lang w:eastAsia="zh-CN"/>
        </w:rPr>
        <w:t>缺乏神学训练，导致出现了许多</w:t>
      </w:r>
      <w:r>
        <w:rPr>
          <w:rFonts w:hint="eastAsia"/>
          <w:lang w:eastAsia="zh-CN"/>
        </w:rPr>
        <w:t>贫血的本土宣教运动，并且催生出很多异端和错误教导。</w:t>
      </w:r>
    </w:p>
    <w:p w14:paraId="31946A23" w14:textId="77777777" w:rsidR="003C2996" w:rsidRPr="003C2996" w:rsidRDefault="003C2996" w:rsidP="003C2996">
      <w:pPr>
        <w:rPr>
          <w:lang w:eastAsia="zh-CN"/>
        </w:rPr>
      </w:pPr>
    </w:p>
    <w:sectPr w:rsidR="003C2996" w:rsidRPr="003C299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BC7" w14:textId="77777777" w:rsidR="00992238" w:rsidRDefault="00992238" w:rsidP="00455E33">
      <w:pPr>
        <w:spacing w:after="0"/>
      </w:pPr>
      <w:r>
        <w:separator/>
      </w:r>
    </w:p>
  </w:endnote>
  <w:endnote w:type="continuationSeparator" w:id="0">
    <w:p w14:paraId="3093C70C" w14:textId="77777777" w:rsidR="00992238" w:rsidRDefault="0099223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992238" w:rsidRDefault="0099223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992238" w:rsidRDefault="0099223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992238" w:rsidRDefault="0099223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606AAE6" w14:textId="77777777" w:rsidR="00992238" w:rsidRDefault="0099223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4E35" w14:textId="77777777" w:rsidR="00992238" w:rsidRDefault="00992238" w:rsidP="00455E33">
      <w:pPr>
        <w:spacing w:after="0"/>
      </w:pPr>
      <w:r>
        <w:separator/>
      </w:r>
    </w:p>
  </w:footnote>
  <w:footnote w:type="continuationSeparator" w:id="0">
    <w:p w14:paraId="26B194F9" w14:textId="77777777" w:rsidR="00992238" w:rsidRDefault="00992238" w:rsidP="00455E33">
      <w:pPr>
        <w:spacing w:after="0"/>
      </w:pPr>
      <w:r>
        <w:continuationSeparator/>
      </w:r>
    </w:p>
  </w:footnote>
  <w:footnote w:id="1">
    <w:p w14:paraId="7B5D225F" w14:textId="54B33E92" w:rsidR="00992238" w:rsidRDefault="00992238">
      <w:pPr>
        <w:pStyle w:val="FootnoteText"/>
        <w:rPr>
          <w:lang w:eastAsia="zh-CN"/>
        </w:rPr>
      </w:pPr>
      <w:r>
        <w:rPr>
          <w:rStyle w:val="FootnoteReference"/>
        </w:rPr>
        <w:footnoteRef/>
      </w:r>
      <w:r>
        <w:t xml:space="preserve"> </w:t>
      </w:r>
      <w:r w:rsidR="002358F7" w:rsidRPr="002358F7">
        <w:t xml:space="preserve">Rodney Stark, </w:t>
      </w:r>
      <w:r w:rsidR="002358F7" w:rsidRPr="002358F7">
        <w:rPr>
          <w:i/>
          <w:iCs/>
        </w:rPr>
        <w:t>A Star in the East: The Rise of Christianity in China</w:t>
      </w:r>
      <w:r w:rsidR="002358F7" w:rsidRPr="002358F7">
        <w:t xml:space="preserve"> (West Conshohocken, PA: Templeton Press, 2015), 11.</w:t>
      </w:r>
    </w:p>
  </w:footnote>
  <w:footnote w:id="2">
    <w:p w14:paraId="179834A5" w14:textId="65E613F1" w:rsidR="00992238" w:rsidRDefault="00992238">
      <w:pPr>
        <w:pStyle w:val="FootnoteText"/>
        <w:rPr>
          <w:lang w:eastAsia="zh-CN"/>
        </w:rPr>
      </w:pPr>
      <w:r>
        <w:rPr>
          <w:rStyle w:val="FootnoteReference"/>
        </w:rPr>
        <w:footnoteRef/>
      </w:r>
      <w:r>
        <w:t xml:space="preserve"> </w:t>
      </w:r>
      <w:r w:rsidR="002358F7">
        <w:rPr>
          <w:color w:val="282D28"/>
          <w:shd w:val="clear" w:color="auto" w:fill="FFFFFF"/>
        </w:rPr>
        <w:t xml:space="preserve">Bruce Baugus, “Introduction: China, Church Development, and Presbyterianism” in </w:t>
      </w:r>
      <w:r w:rsidR="002358F7" w:rsidRPr="002358F7">
        <w:rPr>
          <w:i/>
          <w:iCs/>
          <w:color w:val="282D28"/>
          <w:shd w:val="clear" w:color="auto" w:fill="FFFFFF"/>
        </w:rPr>
        <w:t>China’s Reforming Churches</w:t>
      </w:r>
      <w:r w:rsidR="002358F7">
        <w:rPr>
          <w:color w:val="282D28"/>
          <w:shd w:val="clear" w:color="auto" w:fill="FFFFFF"/>
        </w:rPr>
        <w:t>, ed. Bruce Baugus (Grand Rapids, MI: Reformation Heritage Books, 2014), 1.</w:t>
      </w:r>
    </w:p>
  </w:footnote>
  <w:footnote w:id="3">
    <w:p w14:paraId="266437B0" w14:textId="6FD5D915" w:rsidR="00992238" w:rsidRDefault="00992238">
      <w:pPr>
        <w:pStyle w:val="FootnoteText"/>
        <w:rPr>
          <w:lang w:eastAsia="zh-CN"/>
        </w:rPr>
      </w:pPr>
      <w:r>
        <w:rPr>
          <w:rStyle w:val="FootnoteReference"/>
        </w:rPr>
        <w:footnoteRef/>
      </w:r>
      <w:r>
        <w:t xml:space="preserve"> </w:t>
      </w:r>
      <w:r w:rsidR="002358F7">
        <w:rPr>
          <w:color w:val="282D28"/>
          <w:shd w:val="clear" w:color="auto" w:fill="FFFFFF"/>
        </w:rPr>
        <w:t xml:space="preserve">Daniel Bayes, </w:t>
      </w:r>
      <w:r w:rsidR="002358F7" w:rsidRPr="002358F7">
        <w:rPr>
          <w:i/>
          <w:iCs/>
          <w:color w:val="282D28"/>
          <w:shd w:val="clear" w:color="auto" w:fill="FFFFFF"/>
        </w:rPr>
        <w:t>A New History of Christianity in China</w:t>
      </w:r>
      <w:r w:rsidR="002358F7">
        <w:rPr>
          <w:color w:val="282D28"/>
          <w:shd w:val="clear" w:color="auto" w:fill="FFFFFF"/>
        </w:rPr>
        <w:t xml:space="preserve"> (Malden, MA: Wiley-Blackwell, 2012), 22.</w:t>
      </w:r>
    </w:p>
  </w:footnote>
  <w:footnote w:id="4">
    <w:p w14:paraId="46B0DA9D" w14:textId="6DA77FC9" w:rsidR="00992238" w:rsidRDefault="00992238">
      <w:pPr>
        <w:pStyle w:val="FootnoteText"/>
        <w:rPr>
          <w:lang w:eastAsia="zh-CN"/>
        </w:rPr>
      </w:pPr>
      <w:r>
        <w:rPr>
          <w:rStyle w:val="FootnoteReference"/>
        </w:rPr>
        <w:footnoteRef/>
      </w:r>
      <w:r>
        <w:t xml:space="preserve"> </w:t>
      </w:r>
      <w:r w:rsidR="002358F7">
        <w:rPr>
          <w:color w:val="282D28"/>
          <w:shd w:val="clear" w:color="auto" w:fill="FFFFFF"/>
        </w:rPr>
        <w:t xml:space="preserve">Samuel Hugh Moffett, </w:t>
      </w:r>
      <w:r w:rsidR="002358F7" w:rsidRPr="002358F7">
        <w:rPr>
          <w:i/>
          <w:iCs/>
          <w:color w:val="282D28"/>
          <w:shd w:val="clear" w:color="auto" w:fill="FFFFFF"/>
        </w:rPr>
        <w:t>A History of Christianity in Asia: Volume II 1500-1900</w:t>
      </w:r>
      <w:r w:rsidR="002358F7">
        <w:rPr>
          <w:color w:val="282D28"/>
          <w:shd w:val="clear" w:color="auto" w:fill="FFFFFF"/>
        </w:rPr>
        <w:t xml:space="preserve"> (Maryknoll, NY: Orbis Books), 286</w:t>
      </w:r>
      <w:r w:rsidR="002358F7">
        <w:rPr>
          <w:rFonts w:hint="eastAsia"/>
          <w:color w:val="282D28"/>
          <w:shd w:val="clear" w:color="auto" w:fill="FFFFFF"/>
          <w:lang w:eastAsia="zh-CN"/>
        </w:rPr>
        <w:t>.</w:t>
      </w:r>
    </w:p>
  </w:footnote>
  <w:footnote w:id="5">
    <w:p w14:paraId="7C982AB4" w14:textId="7798769B" w:rsidR="00992238" w:rsidRDefault="00992238">
      <w:pPr>
        <w:pStyle w:val="FootnoteText"/>
        <w:rPr>
          <w:lang w:eastAsia="zh-CN"/>
        </w:rPr>
      </w:pPr>
      <w:r>
        <w:rPr>
          <w:rStyle w:val="FootnoteReference"/>
        </w:rPr>
        <w:footnoteRef/>
      </w:r>
      <w:r>
        <w:t xml:space="preserve"> </w:t>
      </w:r>
      <w:r w:rsidR="002358F7">
        <w:rPr>
          <w:color w:val="282D28"/>
          <w:shd w:val="clear" w:color="auto" w:fill="FFFFFF"/>
        </w:rPr>
        <w:t>Moffett, 287.</w:t>
      </w:r>
    </w:p>
  </w:footnote>
  <w:footnote w:id="6">
    <w:p w14:paraId="7DF3F615" w14:textId="45826622" w:rsidR="00992238" w:rsidRDefault="00992238">
      <w:pPr>
        <w:pStyle w:val="FootnoteText"/>
        <w:rPr>
          <w:lang w:eastAsia="zh-CN"/>
        </w:rPr>
      </w:pPr>
      <w:r>
        <w:rPr>
          <w:rStyle w:val="FootnoteReference"/>
        </w:rPr>
        <w:footnoteRef/>
      </w:r>
      <w:r>
        <w:t xml:space="preserve"> </w:t>
      </w:r>
      <w:r w:rsidR="002358F7">
        <w:rPr>
          <w:color w:val="282D28"/>
          <w:shd w:val="clear" w:color="auto" w:fill="FFFFFF"/>
        </w:rPr>
        <w:t xml:space="preserve">Christopher Hancock, </w:t>
      </w:r>
      <w:r w:rsidR="002358F7" w:rsidRPr="002358F7">
        <w:rPr>
          <w:i/>
          <w:iCs/>
          <w:color w:val="282D28"/>
          <w:shd w:val="clear" w:color="auto" w:fill="FFFFFF"/>
        </w:rPr>
        <w:t>Robert Morrison and the Birth of Chinese Protestantism</w:t>
      </w:r>
      <w:r w:rsidR="002358F7">
        <w:rPr>
          <w:color w:val="282D28"/>
          <w:shd w:val="clear" w:color="auto" w:fill="FFFFFF"/>
        </w:rPr>
        <w:t xml:space="preserve"> (New York, NY: T&amp;T Clark, 2008), 19.</w:t>
      </w:r>
    </w:p>
  </w:footnote>
  <w:footnote w:id="7">
    <w:p w14:paraId="19D6F4EE" w14:textId="7225DD27" w:rsidR="00992238" w:rsidRDefault="00992238">
      <w:pPr>
        <w:pStyle w:val="FootnoteText"/>
        <w:rPr>
          <w:lang w:eastAsia="zh-CN"/>
        </w:rPr>
      </w:pPr>
      <w:r>
        <w:rPr>
          <w:rStyle w:val="FootnoteReference"/>
        </w:rPr>
        <w:footnoteRef/>
      </w:r>
      <w:r>
        <w:t xml:space="preserve"> </w:t>
      </w:r>
      <w:r w:rsidR="002358F7" w:rsidRPr="002358F7">
        <w:t>Bays, 43.</w:t>
      </w:r>
    </w:p>
  </w:footnote>
  <w:footnote w:id="8">
    <w:p w14:paraId="76A20557" w14:textId="3CC2CC87" w:rsidR="00992238" w:rsidRDefault="00992238">
      <w:pPr>
        <w:pStyle w:val="FootnoteText"/>
        <w:rPr>
          <w:lang w:eastAsia="zh-CN"/>
        </w:rPr>
      </w:pPr>
      <w:r>
        <w:rPr>
          <w:rStyle w:val="FootnoteReference"/>
        </w:rPr>
        <w:footnoteRef/>
      </w:r>
      <w:r>
        <w:t xml:space="preserve"> </w:t>
      </w:r>
      <w:r w:rsidR="002358F7">
        <w:rPr>
          <w:color w:val="282D28"/>
          <w:shd w:val="clear" w:color="auto" w:fill="FFFFFF"/>
        </w:rPr>
        <w:t>Baugus, 30.</w:t>
      </w:r>
    </w:p>
  </w:footnote>
  <w:footnote w:id="9">
    <w:p w14:paraId="57FE3A72" w14:textId="46BD327C" w:rsidR="00992238" w:rsidRDefault="00992238">
      <w:pPr>
        <w:pStyle w:val="FootnoteText"/>
        <w:rPr>
          <w:lang w:eastAsia="zh-CN"/>
        </w:rPr>
      </w:pPr>
      <w:r>
        <w:rPr>
          <w:rStyle w:val="FootnoteReference"/>
        </w:rPr>
        <w:footnoteRef/>
      </w:r>
      <w:r>
        <w:t xml:space="preserve"> </w:t>
      </w:r>
      <w:r w:rsidR="002358F7">
        <w:rPr>
          <w:color w:val="282D28"/>
          <w:shd w:val="clear" w:color="auto" w:fill="FFFFFF"/>
        </w:rPr>
        <w:t xml:space="preserve">Bob Davey, </w:t>
      </w:r>
      <w:r w:rsidR="002358F7" w:rsidRPr="002358F7">
        <w:rPr>
          <w:i/>
          <w:iCs/>
          <w:color w:val="282D28"/>
          <w:shd w:val="clear" w:color="auto" w:fill="FFFFFF"/>
        </w:rPr>
        <w:t>The Power to Save</w:t>
      </w:r>
      <w:r w:rsidR="002358F7">
        <w:rPr>
          <w:color w:val="282D28"/>
          <w:shd w:val="clear" w:color="auto" w:fill="FFFFFF"/>
        </w:rPr>
        <w:t xml:space="preserve"> (Carlisle, PA: EP Books, 2011), 43.</w:t>
      </w:r>
    </w:p>
  </w:footnote>
  <w:footnote w:id="10">
    <w:p w14:paraId="03E07B6C" w14:textId="164C07E0" w:rsidR="00992238" w:rsidRDefault="00992238">
      <w:pPr>
        <w:pStyle w:val="FootnoteText"/>
        <w:rPr>
          <w:lang w:eastAsia="zh-CN"/>
        </w:rPr>
      </w:pPr>
      <w:r>
        <w:rPr>
          <w:rStyle w:val="FootnoteReference"/>
        </w:rPr>
        <w:footnoteRef/>
      </w:r>
      <w:r>
        <w:t xml:space="preserve"> </w:t>
      </w:r>
      <w:r w:rsidR="002358F7">
        <w:rPr>
          <w:color w:val="282D28"/>
          <w:shd w:val="clear" w:color="auto" w:fill="FFFFFF"/>
        </w:rPr>
        <w:t>Hancock, 35.</w:t>
      </w:r>
    </w:p>
  </w:footnote>
  <w:footnote w:id="11">
    <w:p w14:paraId="6AADD07A" w14:textId="0BFA23AF" w:rsidR="00992238" w:rsidRDefault="00992238">
      <w:pPr>
        <w:pStyle w:val="FootnoteText"/>
        <w:rPr>
          <w:lang w:eastAsia="zh-CN"/>
        </w:rPr>
      </w:pPr>
      <w:r>
        <w:rPr>
          <w:rStyle w:val="FootnoteReference"/>
        </w:rPr>
        <w:footnoteRef/>
      </w:r>
      <w:r>
        <w:t xml:space="preserve"> </w:t>
      </w:r>
      <w:r w:rsidR="002358F7">
        <w:rPr>
          <w:color w:val="282D28"/>
          <w:shd w:val="clear" w:color="auto" w:fill="FFFFFF"/>
        </w:rPr>
        <w:t>Davey, 36.</w:t>
      </w:r>
    </w:p>
  </w:footnote>
  <w:footnote w:id="12">
    <w:p w14:paraId="1C57EA3D" w14:textId="00F39497" w:rsidR="00992238" w:rsidRDefault="00992238">
      <w:pPr>
        <w:pStyle w:val="FootnoteText"/>
        <w:rPr>
          <w:lang w:eastAsia="zh-CN"/>
        </w:rPr>
      </w:pPr>
      <w:r>
        <w:rPr>
          <w:rStyle w:val="FootnoteReference"/>
        </w:rPr>
        <w:footnoteRef/>
      </w:r>
      <w:r>
        <w:t xml:space="preserve"> </w:t>
      </w:r>
      <w:r w:rsidR="00EA074C">
        <w:rPr>
          <w:color w:val="282D28"/>
          <w:shd w:val="clear" w:color="auto" w:fill="FFFFFF"/>
        </w:rPr>
        <w:t>Moffett, 288.</w:t>
      </w:r>
    </w:p>
  </w:footnote>
  <w:footnote w:id="13">
    <w:p w14:paraId="0C3F1317" w14:textId="16F1D090"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43.</w:t>
      </w:r>
    </w:p>
  </w:footnote>
  <w:footnote w:id="14">
    <w:p w14:paraId="3EDD563F" w14:textId="779EE2F9" w:rsidR="00992238" w:rsidRDefault="00992238">
      <w:pPr>
        <w:pStyle w:val="FootnoteText"/>
        <w:rPr>
          <w:lang w:eastAsia="zh-CN"/>
        </w:rPr>
      </w:pPr>
      <w:r>
        <w:rPr>
          <w:rStyle w:val="FootnoteReference"/>
        </w:rPr>
        <w:footnoteRef/>
      </w:r>
      <w:r>
        <w:t xml:space="preserve"> </w:t>
      </w:r>
      <w:r w:rsidR="00EA074C">
        <w:rPr>
          <w:color w:val="282D28"/>
          <w:shd w:val="clear" w:color="auto" w:fill="FFFFFF"/>
        </w:rPr>
        <w:t xml:space="preserve">Lian Xi, </w:t>
      </w:r>
      <w:r w:rsidR="00EA074C" w:rsidRPr="00EA074C">
        <w:rPr>
          <w:i/>
          <w:iCs/>
          <w:color w:val="282D28"/>
          <w:shd w:val="clear" w:color="auto" w:fill="FFFFFF"/>
        </w:rPr>
        <w:t>Redeemed By Fire: The Rise of Popular Christianity in Modern China</w:t>
      </w:r>
      <w:r w:rsidR="00EA074C">
        <w:rPr>
          <w:color w:val="282D28"/>
          <w:shd w:val="clear" w:color="auto" w:fill="FFFFFF"/>
        </w:rPr>
        <w:t xml:space="preserve"> (New Haven, CT: Yale University Press, 2010), 17</w:t>
      </w:r>
    </w:p>
  </w:footnote>
  <w:footnote w:id="15">
    <w:p w14:paraId="41092899" w14:textId="2A22DC8A" w:rsidR="00992238" w:rsidRDefault="00992238">
      <w:pPr>
        <w:pStyle w:val="FootnoteText"/>
        <w:rPr>
          <w:lang w:eastAsia="zh-CN"/>
        </w:rPr>
      </w:pPr>
      <w:r>
        <w:rPr>
          <w:rStyle w:val="FootnoteReference"/>
        </w:rPr>
        <w:footnoteRef/>
      </w:r>
      <w:r>
        <w:t xml:space="preserve"> </w:t>
      </w:r>
      <w:r w:rsidR="00EA074C">
        <w:rPr>
          <w:color w:val="282D28"/>
          <w:shd w:val="clear" w:color="auto" w:fill="FFFFFF"/>
        </w:rPr>
        <w:t xml:space="preserve">Robert Morrison, “Appendix A: Robert Morrison’s Catechism (1811)” in </w:t>
      </w:r>
      <w:r w:rsidR="00EA074C" w:rsidRPr="00EA074C">
        <w:rPr>
          <w:i/>
          <w:iCs/>
          <w:color w:val="282D28"/>
          <w:shd w:val="clear" w:color="auto" w:fill="FFFFFF"/>
        </w:rPr>
        <w:t>China’s Reforming Churches</w:t>
      </w:r>
      <w:r w:rsidR="00EA074C">
        <w:rPr>
          <w:color w:val="282D28"/>
          <w:shd w:val="clear" w:color="auto" w:fill="FFFFFF"/>
        </w:rPr>
        <w:t>, ed. Bruce Baugus (Grand Rapids, MI: Reformation Heritage Books, 2014), 309.</w:t>
      </w:r>
    </w:p>
  </w:footnote>
  <w:footnote w:id="16">
    <w:p w14:paraId="5A816E6C" w14:textId="4AFB0D9D"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44.</w:t>
      </w:r>
    </w:p>
  </w:footnote>
  <w:footnote w:id="17">
    <w:p w14:paraId="7C31AB91" w14:textId="36E1881E"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47.</w:t>
      </w:r>
    </w:p>
  </w:footnote>
  <w:footnote w:id="18">
    <w:p w14:paraId="20C2E97A" w14:textId="54D8655E" w:rsidR="00992238" w:rsidRDefault="00992238">
      <w:pPr>
        <w:pStyle w:val="FootnoteText"/>
        <w:rPr>
          <w:lang w:eastAsia="zh-CN"/>
        </w:rPr>
      </w:pPr>
      <w:r>
        <w:rPr>
          <w:rStyle w:val="FootnoteReference"/>
        </w:rPr>
        <w:footnoteRef/>
      </w:r>
      <w:r>
        <w:t xml:space="preserve"> </w:t>
      </w:r>
      <w:r w:rsidR="00EA074C">
        <w:rPr>
          <w:color w:val="282D28"/>
          <w:shd w:val="clear" w:color="auto" w:fill="FFFFFF"/>
        </w:rPr>
        <w:t>Moffett, 297.</w:t>
      </w:r>
    </w:p>
  </w:footnote>
  <w:footnote w:id="19">
    <w:p w14:paraId="75DE6FEE" w14:textId="62BA3FA7"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47.</w:t>
      </w:r>
    </w:p>
  </w:footnote>
  <w:footnote w:id="20">
    <w:p w14:paraId="426EAF7A" w14:textId="302AF806"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48.</w:t>
      </w:r>
    </w:p>
  </w:footnote>
  <w:footnote w:id="21">
    <w:p w14:paraId="6CF65582" w14:textId="40967721" w:rsidR="00992238" w:rsidRDefault="00992238">
      <w:pPr>
        <w:pStyle w:val="FootnoteText"/>
        <w:rPr>
          <w:lang w:eastAsia="zh-CN"/>
        </w:rPr>
      </w:pPr>
      <w:r>
        <w:rPr>
          <w:rStyle w:val="FootnoteReference"/>
        </w:rPr>
        <w:footnoteRef/>
      </w:r>
      <w:r>
        <w:t xml:space="preserve"> </w:t>
      </w:r>
      <w:r w:rsidR="00EA074C">
        <w:rPr>
          <w:color w:val="282D28"/>
          <w:shd w:val="clear" w:color="auto" w:fill="FFFFFF"/>
        </w:rPr>
        <w:t>Xi, 19.</w:t>
      </w:r>
    </w:p>
  </w:footnote>
  <w:footnote w:id="22">
    <w:p w14:paraId="7F861F95" w14:textId="74F43E5B"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48.</w:t>
      </w:r>
    </w:p>
  </w:footnote>
  <w:footnote w:id="23">
    <w:p w14:paraId="5079082D" w14:textId="3233109E" w:rsidR="00992238" w:rsidRDefault="00992238">
      <w:pPr>
        <w:pStyle w:val="FootnoteText"/>
        <w:rPr>
          <w:lang w:eastAsia="zh-CN"/>
        </w:rPr>
      </w:pPr>
      <w:r>
        <w:rPr>
          <w:rStyle w:val="FootnoteReference"/>
        </w:rPr>
        <w:footnoteRef/>
      </w:r>
      <w:r>
        <w:t xml:space="preserve"> </w:t>
      </w:r>
      <w:r w:rsidR="00EA074C">
        <w:rPr>
          <w:color w:val="282D28"/>
          <w:shd w:val="clear" w:color="auto" w:fill="FFFFFF"/>
        </w:rPr>
        <w:t>Moffett, 197.</w:t>
      </w:r>
    </w:p>
  </w:footnote>
  <w:footnote w:id="24">
    <w:p w14:paraId="0CA37535" w14:textId="76C88766" w:rsidR="00992238" w:rsidRDefault="00992238">
      <w:pPr>
        <w:pStyle w:val="FootnoteText"/>
        <w:rPr>
          <w:lang w:eastAsia="zh-CN"/>
        </w:rPr>
      </w:pPr>
      <w:r>
        <w:rPr>
          <w:rStyle w:val="FootnoteReference"/>
        </w:rPr>
        <w:footnoteRef/>
      </w:r>
      <w:r>
        <w:t xml:space="preserve"> </w:t>
      </w:r>
      <w:r w:rsidR="00EA074C">
        <w:rPr>
          <w:color w:val="282D28"/>
          <w:shd w:val="clear" w:color="auto" w:fill="FFFFFF"/>
        </w:rPr>
        <w:t>Moffett, 290.</w:t>
      </w:r>
    </w:p>
  </w:footnote>
  <w:footnote w:id="25">
    <w:p w14:paraId="071F0C7F" w14:textId="1DAD33C6"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47.</w:t>
      </w:r>
    </w:p>
  </w:footnote>
  <w:footnote w:id="26">
    <w:p w14:paraId="779E71F5" w14:textId="65BDC9B6"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464.</w:t>
      </w:r>
    </w:p>
  </w:footnote>
  <w:footnote w:id="27">
    <w:p w14:paraId="5AADDE7F" w14:textId="4528024E"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473.</w:t>
      </w:r>
    </w:p>
  </w:footnote>
  <w:footnote w:id="28">
    <w:p w14:paraId="78A73F01" w14:textId="20C2995C"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48.</w:t>
      </w:r>
    </w:p>
  </w:footnote>
  <w:footnote w:id="29">
    <w:p w14:paraId="7860CC8E" w14:textId="5DC20039"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21.</w:t>
      </w:r>
    </w:p>
  </w:footnote>
  <w:footnote w:id="30">
    <w:p w14:paraId="39831AD7" w14:textId="736155AB"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53.</w:t>
      </w:r>
    </w:p>
  </w:footnote>
  <w:footnote w:id="31">
    <w:p w14:paraId="6F4D5374" w14:textId="39472316"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293.</w:t>
      </w:r>
    </w:p>
  </w:footnote>
  <w:footnote w:id="32">
    <w:p w14:paraId="0736257C" w14:textId="4B365400"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81.</w:t>
      </w:r>
    </w:p>
  </w:footnote>
  <w:footnote w:id="33">
    <w:p w14:paraId="2ABA3407" w14:textId="586B4587"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299.</w:t>
      </w:r>
    </w:p>
  </w:footnote>
  <w:footnote w:id="34">
    <w:p w14:paraId="437274E5" w14:textId="129AAE53"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299-300.</w:t>
      </w:r>
    </w:p>
  </w:footnote>
  <w:footnote w:id="35">
    <w:p w14:paraId="679E71D1" w14:textId="773AFB2B" w:rsidR="00992238" w:rsidRDefault="00992238">
      <w:pPr>
        <w:pStyle w:val="FootnoteText"/>
        <w:rPr>
          <w:lang w:eastAsia="zh-CN"/>
        </w:rPr>
      </w:pPr>
      <w:r>
        <w:rPr>
          <w:rStyle w:val="FootnoteReference"/>
        </w:rPr>
        <w:footnoteRef/>
      </w:r>
      <w:r>
        <w:t xml:space="preserve"> </w:t>
      </w:r>
      <w:r w:rsidR="00C96B26">
        <w:rPr>
          <w:color w:val="282D28"/>
          <w:shd w:val="clear" w:color="auto" w:fill="FFFFFF"/>
        </w:rPr>
        <w:t>Baugus, 2.</w:t>
      </w:r>
    </w:p>
  </w:footnote>
  <w:footnote w:id="36">
    <w:p w14:paraId="0E593671" w14:textId="4C825EC2"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300.</w:t>
      </w:r>
    </w:p>
  </w:footnote>
  <w:footnote w:id="37">
    <w:p w14:paraId="66C4742B" w14:textId="78240CF3"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101.</w:t>
      </w:r>
    </w:p>
  </w:footnote>
  <w:footnote w:id="38">
    <w:p w14:paraId="378D1EC4" w14:textId="51687E87"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463.</w:t>
      </w:r>
    </w:p>
  </w:footnote>
  <w:footnote w:id="39">
    <w:p w14:paraId="0B37E38A" w14:textId="48EB5FC6"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465.</w:t>
      </w:r>
    </w:p>
  </w:footnote>
  <w:footnote w:id="40">
    <w:p w14:paraId="6EC701DA" w14:textId="7DD728F2"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107.</w:t>
      </w:r>
    </w:p>
  </w:footnote>
  <w:footnote w:id="41">
    <w:p w14:paraId="43BE39C5" w14:textId="6694A543"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105.</w:t>
      </w:r>
    </w:p>
  </w:footnote>
  <w:footnote w:id="42">
    <w:p w14:paraId="28A78B4F" w14:textId="246D3FB5"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86.</w:t>
      </w:r>
    </w:p>
  </w:footnote>
  <w:footnote w:id="43">
    <w:p w14:paraId="5911B550" w14:textId="545A0E19"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108.</w:t>
      </w:r>
    </w:p>
  </w:footnote>
  <w:footnote w:id="44">
    <w:p w14:paraId="3803B3EE" w14:textId="62B3BCA6" w:rsidR="00992238" w:rsidRDefault="00992238">
      <w:pPr>
        <w:pStyle w:val="FootnoteText"/>
        <w:rPr>
          <w:lang w:eastAsia="zh-CN"/>
        </w:rPr>
      </w:pPr>
      <w:r>
        <w:rPr>
          <w:rStyle w:val="FootnoteReference"/>
        </w:rPr>
        <w:footnoteRef/>
      </w:r>
      <w:r>
        <w:t xml:space="preserve"> </w:t>
      </w:r>
      <w:r w:rsidR="00C96B26">
        <w:rPr>
          <w:color w:val="282D28"/>
          <w:shd w:val="clear" w:color="auto" w:fill="FFFFFF"/>
        </w:rPr>
        <w:t xml:space="preserve">John Pollock, Hudson Taylor &amp; Maria: </w:t>
      </w:r>
      <w:r w:rsidR="00C96B26" w:rsidRPr="00C96B26">
        <w:rPr>
          <w:i/>
          <w:iCs/>
          <w:color w:val="282D28"/>
          <w:shd w:val="clear" w:color="auto" w:fill="FFFFFF"/>
        </w:rPr>
        <w:t>A Match Made in Heaven</w:t>
      </w:r>
      <w:r w:rsidR="00C96B26">
        <w:rPr>
          <w:color w:val="282D28"/>
          <w:shd w:val="clear" w:color="auto" w:fill="FFFFFF"/>
        </w:rPr>
        <w:t xml:space="preserve"> (Ross-Shire, Great Britain: Christian Focus Publication, 2008), 140.</w:t>
      </w:r>
    </w:p>
  </w:footnote>
  <w:footnote w:id="45">
    <w:p w14:paraId="6C064E93" w14:textId="49568809"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68.</w:t>
      </w:r>
    </w:p>
  </w:footnote>
  <w:footnote w:id="46">
    <w:p w14:paraId="33A4BC9A" w14:textId="39932E50"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110.</w:t>
      </w:r>
    </w:p>
  </w:footnote>
  <w:footnote w:id="47">
    <w:p w14:paraId="4B0945AB" w14:textId="27A3FED5"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68.</w:t>
      </w:r>
    </w:p>
  </w:footnote>
  <w:footnote w:id="48">
    <w:p w14:paraId="6FB89673" w14:textId="1BEE984D"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68.</w:t>
      </w:r>
    </w:p>
  </w:footnote>
  <w:footnote w:id="49">
    <w:p w14:paraId="0540D411" w14:textId="68C3665D" w:rsidR="00992238" w:rsidRDefault="00992238">
      <w:pPr>
        <w:pStyle w:val="FootnoteText"/>
        <w:rPr>
          <w:lang w:eastAsia="zh-CN"/>
        </w:rPr>
      </w:pPr>
      <w:r>
        <w:rPr>
          <w:rStyle w:val="FootnoteReference"/>
        </w:rPr>
        <w:footnoteRef/>
      </w:r>
      <w:r>
        <w:t xml:space="preserve"> </w:t>
      </w:r>
      <w:r w:rsidR="00C96B26">
        <w:rPr>
          <w:color w:val="282D28"/>
          <w:shd w:val="clear" w:color="auto" w:fill="FFFFFF"/>
        </w:rPr>
        <w:t>Pollock, 147-158.</w:t>
      </w:r>
    </w:p>
  </w:footnote>
  <w:footnote w:id="50">
    <w:p w14:paraId="378E7ECB" w14:textId="3011E629"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467.</w:t>
      </w:r>
    </w:p>
  </w:footnote>
  <w:footnote w:id="51">
    <w:p w14:paraId="654C3BAF" w14:textId="00C2BD95"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473.</w:t>
      </w:r>
    </w:p>
  </w:footnote>
  <w:footnote w:id="52">
    <w:p w14:paraId="182F9E3C" w14:textId="3A7DF41D"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117.</w:t>
      </w:r>
    </w:p>
  </w:footnote>
  <w:footnote w:id="53">
    <w:p w14:paraId="65306715" w14:textId="37FF50B6"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134.</w:t>
      </w:r>
    </w:p>
  </w:footnote>
  <w:footnote w:id="54">
    <w:p w14:paraId="3B82F419" w14:textId="47183BEB"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32.</w:t>
      </w:r>
    </w:p>
  </w:footnote>
  <w:footnote w:id="55">
    <w:p w14:paraId="0673098B" w14:textId="51698133"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484.</w:t>
      </w:r>
    </w:p>
  </w:footnote>
  <w:footnote w:id="56">
    <w:p w14:paraId="14C146D8" w14:textId="49FB0609" w:rsidR="00992238" w:rsidRDefault="00992238">
      <w:pPr>
        <w:pStyle w:val="FootnoteText"/>
        <w:rPr>
          <w:lang w:eastAsia="zh-CN"/>
        </w:rPr>
      </w:pPr>
      <w:r>
        <w:rPr>
          <w:rStyle w:val="FootnoteReference"/>
        </w:rPr>
        <w:footnoteRef/>
      </w:r>
      <w:r>
        <w:t xml:space="preserve"> </w:t>
      </w:r>
      <w:r w:rsidR="00C96B26">
        <w:rPr>
          <w:color w:val="282D28"/>
          <w:shd w:val="clear" w:color="auto" w:fill="FFFFFF"/>
        </w:rPr>
        <w:t>Davey, 132.</w:t>
      </w:r>
    </w:p>
  </w:footnote>
  <w:footnote w:id="57">
    <w:p w14:paraId="024C1515" w14:textId="63B0005D"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84.</w:t>
      </w:r>
    </w:p>
  </w:footnote>
  <w:footnote w:id="58">
    <w:p w14:paraId="3E9D094E" w14:textId="0C911FE6"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484.</w:t>
      </w:r>
    </w:p>
  </w:footnote>
  <w:footnote w:id="59">
    <w:p w14:paraId="3DCB323D" w14:textId="1E3C1D0E"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85.</w:t>
      </w:r>
    </w:p>
  </w:footnote>
  <w:footnote w:id="60">
    <w:p w14:paraId="21821C2A" w14:textId="213846EC" w:rsidR="00992238" w:rsidRDefault="00992238">
      <w:pPr>
        <w:pStyle w:val="FootnoteText"/>
        <w:rPr>
          <w:lang w:eastAsia="zh-CN"/>
        </w:rPr>
      </w:pPr>
      <w:r>
        <w:rPr>
          <w:rStyle w:val="FootnoteReference"/>
        </w:rPr>
        <w:footnoteRef/>
      </w:r>
      <w:r>
        <w:t xml:space="preserve"> </w:t>
      </w:r>
      <w:r w:rsidR="00C96B26">
        <w:rPr>
          <w:color w:val="282D28"/>
          <w:shd w:val="clear" w:color="auto" w:fill="FFFFFF"/>
        </w:rPr>
        <w:t>Moffett, 486.</w:t>
      </w:r>
    </w:p>
  </w:footnote>
  <w:footnote w:id="61">
    <w:p w14:paraId="4F4997F6" w14:textId="3CC85E46"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137.</w:t>
      </w:r>
    </w:p>
  </w:footnote>
  <w:footnote w:id="62">
    <w:p w14:paraId="39FEE3E4" w14:textId="30BB29FD"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141.</w:t>
      </w:r>
    </w:p>
  </w:footnote>
  <w:footnote w:id="63">
    <w:p w14:paraId="77EC755E" w14:textId="31115D1C"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138.</w:t>
      </w:r>
    </w:p>
  </w:footnote>
  <w:footnote w:id="64">
    <w:p w14:paraId="2BCB7BFA" w14:textId="2A11F5D1"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139.</w:t>
      </w:r>
    </w:p>
  </w:footnote>
  <w:footnote w:id="65">
    <w:p w14:paraId="7D891886" w14:textId="68ED8662"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139.</w:t>
      </w:r>
    </w:p>
  </w:footnote>
  <w:footnote w:id="66">
    <w:p w14:paraId="347A6AFA" w14:textId="63D51B51"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140-141.</w:t>
      </w:r>
    </w:p>
  </w:footnote>
  <w:footnote w:id="67">
    <w:p w14:paraId="76531999" w14:textId="586D5F48"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141.</w:t>
      </w:r>
    </w:p>
  </w:footnote>
  <w:footnote w:id="68">
    <w:p w14:paraId="05F694CD" w14:textId="6F961DF1"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137.</w:t>
      </w:r>
    </w:p>
  </w:footnote>
  <w:footnote w:id="69">
    <w:p w14:paraId="59A3D46A" w14:textId="62217828"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144.</w:t>
      </w:r>
    </w:p>
  </w:footnote>
  <w:footnote w:id="70">
    <w:p w14:paraId="68A433B0" w14:textId="77C3159D"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147.</w:t>
      </w:r>
    </w:p>
  </w:footnote>
  <w:footnote w:id="71">
    <w:p w14:paraId="34A113B1" w14:textId="33A04E1F"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137.</w:t>
      </w:r>
    </w:p>
  </w:footnote>
  <w:footnote w:id="72">
    <w:p w14:paraId="4B80F17A" w14:textId="67738053"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136.</w:t>
      </w:r>
    </w:p>
  </w:footnote>
  <w:footnote w:id="73">
    <w:p w14:paraId="4E432804" w14:textId="72CFF9AF"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156.</w:t>
      </w:r>
    </w:p>
  </w:footnote>
  <w:footnote w:id="74">
    <w:p w14:paraId="74BBAEB2" w14:textId="0C6783BF"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132.</w:t>
      </w:r>
    </w:p>
  </w:footnote>
  <w:footnote w:id="75">
    <w:p w14:paraId="109060A3" w14:textId="2567CCCD"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169.</w:t>
      </w:r>
    </w:p>
  </w:footnote>
  <w:footnote w:id="76">
    <w:p w14:paraId="29C9F54A" w14:textId="51799478"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163.</w:t>
      </w:r>
    </w:p>
  </w:footnote>
  <w:footnote w:id="77">
    <w:p w14:paraId="3054DD65" w14:textId="0C1666D1"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176.</w:t>
      </w:r>
    </w:p>
  </w:footnote>
  <w:footnote w:id="78">
    <w:p w14:paraId="5839CC8C" w14:textId="444AAE2F"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165.</w:t>
      </w:r>
    </w:p>
  </w:footnote>
  <w:footnote w:id="79">
    <w:p w14:paraId="485E6F1B" w14:textId="5A282747" w:rsidR="00992238" w:rsidRDefault="00992238">
      <w:pPr>
        <w:pStyle w:val="FootnoteText"/>
        <w:rPr>
          <w:lang w:eastAsia="zh-CN"/>
        </w:rPr>
      </w:pPr>
      <w:r>
        <w:rPr>
          <w:rStyle w:val="FootnoteReference"/>
        </w:rPr>
        <w:footnoteRef/>
      </w:r>
      <w:r>
        <w:t xml:space="preserve"> </w:t>
      </w:r>
      <w:r w:rsidR="00C96B26">
        <w:rPr>
          <w:color w:val="282D28"/>
          <w:shd w:val="clear" w:color="auto" w:fill="FFFFFF"/>
        </w:rPr>
        <w:t>Bays, 133.</w:t>
      </w:r>
    </w:p>
  </w:footnote>
  <w:footnote w:id="80">
    <w:p w14:paraId="4AB31885" w14:textId="3CF81D47"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170.</w:t>
      </w:r>
    </w:p>
  </w:footnote>
  <w:footnote w:id="81">
    <w:p w14:paraId="16F64BF7" w14:textId="0E184C0C" w:rsidR="00992238" w:rsidRDefault="00992238">
      <w:pPr>
        <w:pStyle w:val="FootnoteText"/>
        <w:rPr>
          <w:lang w:eastAsia="zh-CN"/>
        </w:rPr>
      </w:pPr>
      <w:r>
        <w:rPr>
          <w:rStyle w:val="FootnoteReference"/>
        </w:rPr>
        <w:footnoteRef/>
      </w:r>
      <w:r>
        <w:t xml:space="preserve"> </w:t>
      </w:r>
      <w:r w:rsidR="00C96B26">
        <w:rPr>
          <w:color w:val="282D28"/>
          <w:shd w:val="clear" w:color="auto" w:fill="FFFFFF"/>
        </w:rPr>
        <w:t>Xi, 194.</w:t>
      </w:r>
    </w:p>
  </w:footnote>
  <w:footnote w:id="82">
    <w:p w14:paraId="24175F5F" w14:textId="25F02241"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159.</w:t>
      </w:r>
    </w:p>
  </w:footnote>
  <w:footnote w:id="83">
    <w:p w14:paraId="6A7DE97C" w14:textId="652816AA" w:rsidR="00992238" w:rsidRDefault="00992238">
      <w:pPr>
        <w:pStyle w:val="FootnoteText"/>
        <w:rPr>
          <w:lang w:eastAsia="zh-CN"/>
        </w:rPr>
      </w:pPr>
      <w:r>
        <w:rPr>
          <w:rStyle w:val="FootnoteReference"/>
        </w:rPr>
        <w:footnoteRef/>
      </w:r>
      <w:r>
        <w:t xml:space="preserve"> </w:t>
      </w:r>
      <w:r w:rsidR="00EA074C">
        <w:rPr>
          <w:color w:val="282D28"/>
          <w:shd w:val="clear" w:color="auto" w:fill="FFFFFF"/>
        </w:rPr>
        <w:t xml:space="preserve">Liao Yiwu, </w:t>
      </w:r>
      <w:r w:rsidR="00EA074C" w:rsidRPr="00EA074C">
        <w:rPr>
          <w:i/>
          <w:iCs/>
          <w:color w:val="282D28"/>
          <w:shd w:val="clear" w:color="auto" w:fill="FFFFFF"/>
        </w:rPr>
        <w:t>God is Red</w:t>
      </w:r>
      <w:r w:rsidR="00EA074C">
        <w:rPr>
          <w:color w:val="282D28"/>
          <w:shd w:val="clear" w:color="auto" w:fill="FFFFFF"/>
        </w:rPr>
        <w:t xml:space="preserve"> trans. Wenguang Huang (New York, NY: HarperOne, 2011), 4.</w:t>
      </w:r>
    </w:p>
  </w:footnote>
  <w:footnote w:id="84">
    <w:p w14:paraId="032E20CB" w14:textId="107F0E9A"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161-162.</w:t>
      </w:r>
    </w:p>
  </w:footnote>
  <w:footnote w:id="85">
    <w:p w14:paraId="10F3B8A3" w14:textId="5CF22323" w:rsidR="00992238" w:rsidRDefault="00992238">
      <w:pPr>
        <w:pStyle w:val="FootnoteText"/>
        <w:rPr>
          <w:lang w:eastAsia="zh-CN"/>
        </w:rPr>
      </w:pPr>
      <w:r>
        <w:rPr>
          <w:rStyle w:val="FootnoteReference"/>
        </w:rPr>
        <w:footnoteRef/>
      </w:r>
      <w:r>
        <w:t xml:space="preserve"> </w:t>
      </w:r>
      <w:r w:rsidR="00EA074C">
        <w:rPr>
          <w:color w:val="282D28"/>
          <w:shd w:val="clear" w:color="auto" w:fill="FFFFFF"/>
        </w:rPr>
        <w:t xml:space="preserve">David Aikman, </w:t>
      </w:r>
      <w:r w:rsidR="00EA074C" w:rsidRPr="00EA074C">
        <w:rPr>
          <w:i/>
          <w:iCs/>
          <w:color w:val="282D28"/>
          <w:shd w:val="clear" w:color="auto" w:fill="FFFFFF"/>
        </w:rPr>
        <w:t>Jesus in Beijing</w:t>
      </w:r>
      <w:r w:rsidR="00EA074C">
        <w:rPr>
          <w:color w:val="282D28"/>
          <w:shd w:val="clear" w:color="auto" w:fill="FFFFFF"/>
        </w:rPr>
        <w:t xml:space="preserve"> (Washington, DC: Regency Publishing, 2006), 152.</w:t>
      </w:r>
    </w:p>
  </w:footnote>
  <w:footnote w:id="86">
    <w:p w14:paraId="6AD66508" w14:textId="0CA006E6"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158.</w:t>
      </w:r>
    </w:p>
  </w:footnote>
  <w:footnote w:id="87">
    <w:p w14:paraId="31B044B3" w14:textId="04BB0651"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163.</w:t>
      </w:r>
    </w:p>
  </w:footnote>
  <w:footnote w:id="88">
    <w:p w14:paraId="749EE506" w14:textId="0304BAF0"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160.</w:t>
      </w:r>
    </w:p>
  </w:footnote>
  <w:footnote w:id="89">
    <w:p w14:paraId="2074DE3E" w14:textId="113B491C" w:rsidR="00992238" w:rsidRDefault="00992238">
      <w:pPr>
        <w:pStyle w:val="FootnoteText"/>
        <w:rPr>
          <w:lang w:eastAsia="zh-CN"/>
        </w:rPr>
      </w:pPr>
      <w:r>
        <w:rPr>
          <w:rStyle w:val="FootnoteReference"/>
        </w:rPr>
        <w:footnoteRef/>
      </w:r>
      <w:r>
        <w:t xml:space="preserve"> </w:t>
      </w:r>
      <w:r w:rsidR="00EA074C">
        <w:rPr>
          <w:color w:val="282D28"/>
          <w:shd w:val="clear" w:color="auto" w:fill="FFFFFF"/>
        </w:rPr>
        <w:t>Xi, 17.</w:t>
      </w:r>
    </w:p>
  </w:footnote>
  <w:footnote w:id="90">
    <w:p w14:paraId="475D9C27" w14:textId="4F72B69D"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164.</w:t>
      </w:r>
    </w:p>
  </w:footnote>
  <w:footnote w:id="91">
    <w:p w14:paraId="723BEDC4" w14:textId="598A3308"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165.</w:t>
      </w:r>
    </w:p>
  </w:footnote>
  <w:footnote w:id="92">
    <w:p w14:paraId="25FF04FD" w14:textId="0F035772"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165.</w:t>
      </w:r>
    </w:p>
  </w:footnote>
  <w:footnote w:id="93">
    <w:p w14:paraId="469BACE3" w14:textId="5C106188" w:rsidR="00992238" w:rsidRDefault="00992238">
      <w:pPr>
        <w:pStyle w:val="FootnoteText"/>
        <w:rPr>
          <w:lang w:eastAsia="zh-CN"/>
        </w:rPr>
      </w:pPr>
      <w:r>
        <w:rPr>
          <w:rStyle w:val="FootnoteReference"/>
        </w:rPr>
        <w:footnoteRef/>
      </w:r>
      <w:r>
        <w:t xml:space="preserve"> </w:t>
      </w:r>
      <w:r w:rsidR="00EA074C">
        <w:rPr>
          <w:color w:val="282D28"/>
          <w:shd w:val="clear" w:color="auto" w:fill="FFFFFF"/>
        </w:rPr>
        <w:t xml:space="preserve">Brent Fulton, “A Tale of Two Churches?” in </w:t>
      </w:r>
      <w:r w:rsidR="00EA074C" w:rsidRPr="00EA074C">
        <w:rPr>
          <w:i/>
          <w:iCs/>
          <w:color w:val="282D28"/>
          <w:shd w:val="clear" w:color="auto" w:fill="FFFFFF"/>
        </w:rPr>
        <w:t>China’s Reforming Churches</w:t>
      </w:r>
      <w:r w:rsidR="00EA074C">
        <w:rPr>
          <w:color w:val="282D28"/>
          <w:shd w:val="clear" w:color="auto" w:fill="FFFFFF"/>
        </w:rPr>
        <w:t>, ed. Bruce Baugus (Grand Rapids, MI: Reformation Heritage Books, 2014), 182.</w:t>
      </w:r>
    </w:p>
  </w:footnote>
  <w:footnote w:id="94">
    <w:p w14:paraId="052E416F" w14:textId="46B3562F" w:rsidR="00992238" w:rsidRDefault="00992238">
      <w:pPr>
        <w:pStyle w:val="FootnoteText"/>
        <w:rPr>
          <w:lang w:eastAsia="zh-CN"/>
        </w:rPr>
      </w:pPr>
      <w:r>
        <w:rPr>
          <w:rStyle w:val="FootnoteReference"/>
        </w:rPr>
        <w:footnoteRef/>
      </w:r>
      <w:r>
        <w:t xml:space="preserve"> </w:t>
      </w:r>
      <w:r w:rsidR="00EA074C">
        <w:rPr>
          <w:color w:val="282D28"/>
          <w:shd w:val="clear" w:color="auto" w:fill="FFFFFF"/>
        </w:rPr>
        <w:t>Xi, 202.</w:t>
      </w:r>
    </w:p>
  </w:footnote>
  <w:footnote w:id="95">
    <w:p w14:paraId="75167EBD" w14:textId="30A87DC3"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176-177.</w:t>
      </w:r>
    </w:p>
  </w:footnote>
  <w:footnote w:id="96">
    <w:p w14:paraId="2AEA8BB0" w14:textId="08104461"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194.</w:t>
      </w:r>
    </w:p>
  </w:footnote>
  <w:footnote w:id="97">
    <w:p w14:paraId="69CE219A" w14:textId="77384338"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176.</w:t>
      </w:r>
    </w:p>
  </w:footnote>
  <w:footnote w:id="98">
    <w:p w14:paraId="55C8789F" w14:textId="65F3F7BF" w:rsidR="00992238" w:rsidRDefault="00992238">
      <w:pPr>
        <w:pStyle w:val="FootnoteText"/>
        <w:rPr>
          <w:lang w:eastAsia="zh-CN"/>
        </w:rPr>
      </w:pPr>
      <w:r>
        <w:rPr>
          <w:rStyle w:val="FootnoteReference"/>
        </w:rPr>
        <w:footnoteRef/>
      </w:r>
      <w:r>
        <w:t xml:space="preserve"> </w:t>
      </w:r>
      <w:r w:rsidR="00EA074C">
        <w:rPr>
          <w:color w:val="282D28"/>
          <w:shd w:val="clear" w:color="auto" w:fill="FFFFFF"/>
        </w:rPr>
        <w:t>Xi, 202.</w:t>
      </w:r>
    </w:p>
  </w:footnote>
  <w:footnote w:id="99">
    <w:p w14:paraId="5295C33D" w14:textId="186404AF" w:rsidR="00992238" w:rsidRDefault="00992238">
      <w:pPr>
        <w:pStyle w:val="FootnoteText"/>
        <w:rPr>
          <w:lang w:eastAsia="zh-CN"/>
        </w:rPr>
      </w:pPr>
      <w:r>
        <w:rPr>
          <w:rStyle w:val="FootnoteReference"/>
        </w:rPr>
        <w:footnoteRef/>
      </w:r>
      <w:r>
        <w:t xml:space="preserve"> </w:t>
      </w:r>
      <w:r w:rsidR="00EA074C">
        <w:rPr>
          <w:color w:val="282D28"/>
          <w:shd w:val="clear" w:color="auto" w:fill="FFFFFF"/>
        </w:rPr>
        <w:t>Xi, 204.</w:t>
      </w:r>
    </w:p>
  </w:footnote>
  <w:footnote w:id="100">
    <w:p w14:paraId="3F281DE5" w14:textId="3986E9CD" w:rsidR="002358F7" w:rsidRDefault="002358F7">
      <w:pPr>
        <w:pStyle w:val="FootnoteText"/>
        <w:rPr>
          <w:lang w:eastAsia="zh-CN"/>
        </w:rPr>
      </w:pPr>
      <w:r>
        <w:rPr>
          <w:rStyle w:val="FootnoteReference"/>
        </w:rPr>
        <w:footnoteRef/>
      </w:r>
      <w:r>
        <w:t xml:space="preserve"> </w:t>
      </w:r>
      <w:r w:rsidR="00EA074C">
        <w:rPr>
          <w:color w:val="282D28"/>
          <w:shd w:val="clear" w:color="auto" w:fill="FFFFFF"/>
        </w:rPr>
        <w:t>Bays, 185.</w:t>
      </w:r>
    </w:p>
  </w:footnote>
  <w:footnote w:id="101">
    <w:p w14:paraId="14D2F62C" w14:textId="6A4AF5C0" w:rsidR="002358F7" w:rsidRDefault="002358F7">
      <w:pPr>
        <w:pStyle w:val="FootnoteText"/>
        <w:rPr>
          <w:lang w:eastAsia="zh-CN"/>
        </w:rPr>
      </w:pPr>
      <w:r>
        <w:rPr>
          <w:rStyle w:val="FootnoteReference"/>
        </w:rPr>
        <w:footnoteRef/>
      </w:r>
      <w:r>
        <w:t xml:space="preserve"> </w:t>
      </w:r>
      <w:r w:rsidR="00EA074C" w:rsidRPr="00EA074C">
        <w:rPr>
          <w:i/>
          <w:iCs/>
          <w:color w:val="282D28"/>
          <w:shd w:val="clear" w:color="auto" w:fill="FFFFFF"/>
        </w:rPr>
        <w:t>Mao's Last Revolution</w:t>
      </w:r>
      <w:r w:rsidR="00EA074C">
        <w:rPr>
          <w:color w:val="282D28"/>
          <w:shd w:val="clear" w:color="auto" w:fill="FFFFFF"/>
        </w:rPr>
        <w:t xml:space="preserve"> (2006); </w:t>
      </w:r>
      <w:r w:rsidR="00EA074C" w:rsidRPr="00EA074C">
        <w:rPr>
          <w:i/>
          <w:iCs/>
          <w:color w:val="282D28"/>
          <w:shd w:val="clear" w:color="auto" w:fill="FFFFFF"/>
        </w:rPr>
        <w:t>Mao: The Unknown Story</w:t>
      </w:r>
      <w:r w:rsidR="00EA074C">
        <w:rPr>
          <w:color w:val="282D28"/>
          <w:shd w:val="clear" w:color="auto" w:fill="FFFFFF"/>
        </w:rPr>
        <w:t xml:space="preserve"> (2005)</w:t>
      </w:r>
    </w:p>
  </w:footnote>
  <w:footnote w:id="102">
    <w:p w14:paraId="6389AB62" w14:textId="0691C286" w:rsidR="002358F7" w:rsidRDefault="002358F7">
      <w:pPr>
        <w:pStyle w:val="FootnoteText"/>
        <w:rPr>
          <w:lang w:eastAsia="zh-CN"/>
        </w:rPr>
      </w:pPr>
      <w:r>
        <w:rPr>
          <w:rStyle w:val="FootnoteReference"/>
        </w:rPr>
        <w:footnoteRef/>
      </w:r>
      <w:r>
        <w:t xml:space="preserve"> </w:t>
      </w:r>
      <w:r w:rsidR="00EA074C">
        <w:rPr>
          <w:color w:val="282D28"/>
          <w:shd w:val="clear" w:color="auto" w:fill="FFFFFF"/>
        </w:rPr>
        <w:t>Bays, 176.</w:t>
      </w:r>
    </w:p>
  </w:footnote>
  <w:footnote w:id="103">
    <w:p w14:paraId="3C2AF8D0" w14:textId="6CE249B2" w:rsidR="002358F7" w:rsidRDefault="002358F7">
      <w:pPr>
        <w:pStyle w:val="FootnoteText"/>
        <w:rPr>
          <w:lang w:eastAsia="zh-CN"/>
        </w:rPr>
      </w:pPr>
      <w:r>
        <w:rPr>
          <w:rStyle w:val="FootnoteReference"/>
        </w:rPr>
        <w:footnoteRef/>
      </w:r>
      <w:r>
        <w:t xml:space="preserve"> </w:t>
      </w:r>
      <w:r w:rsidR="00EA074C">
        <w:rPr>
          <w:color w:val="282D28"/>
          <w:shd w:val="clear" w:color="auto" w:fill="FFFFFF"/>
        </w:rPr>
        <w:t>Bays, 185.</w:t>
      </w:r>
    </w:p>
  </w:footnote>
  <w:footnote w:id="104">
    <w:p w14:paraId="325AFA8A" w14:textId="053A5A3C"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186.</w:t>
      </w:r>
    </w:p>
  </w:footnote>
  <w:footnote w:id="105">
    <w:p w14:paraId="0933F031" w14:textId="04C9DC63"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186.</w:t>
      </w:r>
    </w:p>
  </w:footnote>
  <w:footnote w:id="106">
    <w:p w14:paraId="60BECDC4" w14:textId="09CDA00D" w:rsidR="00992238" w:rsidRDefault="00992238">
      <w:pPr>
        <w:pStyle w:val="FootnoteText"/>
        <w:rPr>
          <w:lang w:eastAsia="zh-CN"/>
        </w:rPr>
      </w:pPr>
      <w:r>
        <w:rPr>
          <w:rStyle w:val="FootnoteReference"/>
        </w:rPr>
        <w:footnoteRef/>
      </w:r>
      <w:r>
        <w:t xml:space="preserve"> </w:t>
      </w:r>
      <w:r w:rsidR="00EA074C">
        <w:rPr>
          <w:color w:val="282D28"/>
          <w:shd w:val="clear" w:color="auto" w:fill="FFFFFF"/>
        </w:rPr>
        <w:t>Bays, 190.</w:t>
      </w:r>
    </w:p>
  </w:footnote>
  <w:footnote w:id="107">
    <w:p w14:paraId="56972587" w14:textId="5AB59276" w:rsidR="002358F7" w:rsidRDefault="002358F7">
      <w:pPr>
        <w:pStyle w:val="FootnoteText"/>
        <w:rPr>
          <w:lang w:eastAsia="zh-CN"/>
        </w:rPr>
      </w:pPr>
      <w:r>
        <w:rPr>
          <w:rStyle w:val="FootnoteReference"/>
        </w:rPr>
        <w:footnoteRef/>
      </w:r>
      <w:r>
        <w:t xml:space="preserve"> </w:t>
      </w:r>
      <w:r w:rsidR="00D16704">
        <w:rPr>
          <w:rFonts w:hint="eastAsia"/>
          <w:color w:val="282D28"/>
          <w:shd w:val="clear" w:color="auto" w:fill="FFFFFF"/>
          <w:lang w:eastAsia="zh-CN"/>
        </w:rPr>
        <w:t>对</w:t>
      </w:r>
      <w:r w:rsidR="00EA074C">
        <w:rPr>
          <w:color w:val="282D28"/>
          <w:shd w:val="clear" w:color="auto" w:fill="FFFFFF"/>
        </w:rPr>
        <w:t>GY</w:t>
      </w:r>
      <w:r w:rsidR="00D16704">
        <w:rPr>
          <w:rFonts w:hint="eastAsia"/>
          <w:color w:val="282D28"/>
          <w:shd w:val="clear" w:color="auto" w:fill="FFFFFF"/>
          <w:lang w:eastAsia="zh-CN"/>
        </w:rPr>
        <w:t>的访谈。</w:t>
      </w:r>
    </w:p>
  </w:footnote>
  <w:footnote w:id="108">
    <w:p w14:paraId="41C230A4" w14:textId="4FF5EAED" w:rsidR="00EA074C" w:rsidRDefault="00EA074C">
      <w:pPr>
        <w:pStyle w:val="FootnoteText"/>
        <w:rPr>
          <w:lang w:eastAsia="zh-CN"/>
        </w:rPr>
      </w:pPr>
      <w:r>
        <w:rPr>
          <w:rStyle w:val="FootnoteReference"/>
        </w:rPr>
        <w:footnoteRef/>
      </w:r>
      <w:r>
        <w:t xml:space="preserve"> </w:t>
      </w:r>
      <w:r>
        <w:rPr>
          <w:color w:val="282D28"/>
          <w:shd w:val="clear" w:color="auto" w:fill="FFFFFF"/>
        </w:rPr>
        <w:t>Xi, 7.</w:t>
      </w:r>
    </w:p>
  </w:footnote>
  <w:footnote w:id="109">
    <w:p w14:paraId="27E76ED2" w14:textId="6302F974" w:rsidR="00EA074C" w:rsidRDefault="00EA074C">
      <w:pPr>
        <w:pStyle w:val="FootnoteText"/>
        <w:rPr>
          <w:lang w:eastAsia="zh-CN"/>
        </w:rPr>
      </w:pPr>
      <w:r>
        <w:rPr>
          <w:rStyle w:val="FootnoteReference"/>
        </w:rPr>
        <w:footnoteRef/>
      </w:r>
      <w:r>
        <w:t xml:space="preserve"> </w:t>
      </w:r>
      <w:r>
        <w:rPr>
          <w:color w:val="282D28"/>
          <w:shd w:val="clear" w:color="auto" w:fill="FFFFFF"/>
        </w:rPr>
        <w:t xml:space="preserve">Michael M, “A Brief History of the Western Presbyterian and Reformed Mission to China” in </w:t>
      </w:r>
      <w:r w:rsidRPr="00EA074C">
        <w:rPr>
          <w:i/>
          <w:iCs/>
          <w:color w:val="282D28"/>
          <w:shd w:val="clear" w:color="auto" w:fill="FFFFFF"/>
        </w:rPr>
        <w:t>China’s Reforming Churches</w:t>
      </w:r>
      <w:r>
        <w:rPr>
          <w:color w:val="282D28"/>
          <w:shd w:val="clear" w:color="auto" w:fill="FFFFFF"/>
        </w:rPr>
        <w:t>, ed. Bruce Baugus (Grand Rapids, MI: Reformation Heritage Books, 2014),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D413A"/>
    <w:multiLevelType w:val="multilevel"/>
    <w:tmpl w:val="15AD4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606D67"/>
    <w:multiLevelType w:val="multilevel"/>
    <w:tmpl w:val="47606D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F57CB"/>
    <w:multiLevelType w:val="hybridMultilevel"/>
    <w:tmpl w:val="B06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753F5"/>
    <w:multiLevelType w:val="multilevel"/>
    <w:tmpl w:val="4A4753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2E5DA1"/>
    <w:multiLevelType w:val="multilevel"/>
    <w:tmpl w:val="4B2E5DA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C759BB"/>
    <w:multiLevelType w:val="hybridMultilevel"/>
    <w:tmpl w:val="6FB28246"/>
    <w:lvl w:ilvl="0" w:tplc="5CE2DAA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32"/>
  </w:num>
  <w:num w:numId="15">
    <w:abstractNumId w:val="1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0"/>
  </w:num>
  <w:num w:numId="22">
    <w:abstractNumId w:val="25"/>
  </w:num>
  <w:num w:numId="23">
    <w:abstractNumId w:val="13"/>
  </w:num>
  <w:num w:numId="24">
    <w:abstractNumId w:val="3"/>
  </w:num>
  <w:num w:numId="25">
    <w:abstractNumId w:val="33"/>
  </w:num>
  <w:num w:numId="26">
    <w:abstractNumId w:val="9"/>
  </w:num>
  <w:num w:numId="27">
    <w:abstractNumId w:val="2"/>
  </w:num>
  <w:num w:numId="28">
    <w:abstractNumId w:val="26"/>
  </w:num>
  <w:num w:numId="29">
    <w:abstractNumId w:val="4"/>
  </w:num>
  <w:num w:numId="30">
    <w:abstractNumId w:val="17"/>
  </w:num>
  <w:num w:numId="31">
    <w:abstractNumId w:val="21"/>
  </w:num>
  <w:num w:numId="32">
    <w:abstractNumId w:val="6"/>
  </w:num>
  <w:num w:numId="33">
    <w:abstractNumId w:val="24"/>
  </w:num>
  <w:num w:numId="34">
    <w:abstractNumId w:val="23"/>
  </w:num>
  <w:num w:numId="35">
    <w:abstractNumId w:val="31"/>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11C9"/>
    <w:rsid w:val="0005316D"/>
    <w:rsid w:val="00070032"/>
    <w:rsid w:val="00070DBC"/>
    <w:rsid w:val="000751A4"/>
    <w:rsid w:val="00082407"/>
    <w:rsid w:val="000842AC"/>
    <w:rsid w:val="00092BC5"/>
    <w:rsid w:val="000A11A2"/>
    <w:rsid w:val="000A2F4F"/>
    <w:rsid w:val="000B1FD2"/>
    <w:rsid w:val="000B2E4F"/>
    <w:rsid w:val="000B4B32"/>
    <w:rsid w:val="000D42CA"/>
    <w:rsid w:val="001011A6"/>
    <w:rsid w:val="00106DB0"/>
    <w:rsid w:val="00113420"/>
    <w:rsid w:val="00131786"/>
    <w:rsid w:val="0013262D"/>
    <w:rsid w:val="001435AB"/>
    <w:rsid w:val="0015276A"/>
    <w:rsid w:val="0015386C"/>
    <w:rsid w:val="00160E6E"/>
    <w:rsid w:val="00161F98"/>
    <w:rsid w:val="001729DE"/>
    <w:rsid w:val="001754A4"/>
    <w:rsid w:val="00183C75"/>
    <w:rsid w:val="001936FF"/>
    <w:rsid w:val="001A1B0F"/>
    <w:rsid w:val="001B0341"/>
    <w:rsid w:val="001B1672"/>
    <w:rsid w:val="001B396A"/>
    <w:rsid w:val="001E000E"/>
    <w:rsid w:val="00222F93"/>
    <w:rsid w:val="002260AE"/>
    <w:rsid w:val="0023008B"/>
    <w:rsid w:val="002358F7"/>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3C55"/>
    <w:rsid w:val="002C764F"/>
    <w:rsid w:val="002D2B89"/>
    <w:rsid w:val="002D5D9A"/>
    <w:rsid w:val="002F2F31"/>
    <w:rsid w:val="002F4415"/>
    <w:rsid w:val="00301AB7"/>
    <w:rsid w:val="00307719"/>
    <w:rsid w:val="00315BFF"/>
    <w:rsid w:val="00342A70"/>
    <w:rsid w:val="00342B66"/>
    <w:rsid w:val="00344643"/>
    <w:rsid w:val="00344DF6"/>
    <w:rsid w:val="0035461E"/>
    <w:rsid w:val="003638B6"/>
    <w:rsid w:val="00372761"/>
    <w:rsid w:val="00377077"/>
    <w:rsid w:val="003777A3"/>
    <w:rsid w:val="003800FA"/>
    <w:rsid w:val="00385446"/>
    <w:rsid w:val="00386627"/>
    <w:rsid w:val="003B1F85"/>
    <w:rsid w:val="003B5028"/>
    <w:rsid w:val="003B549D"/>
    <w:rsid w:val="003C1016"/>
    <w:rsid w:val="003C2996"/>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F1C50"/>
    <w:rsid w:val="004F2DE2"/>
    <w:rsid w:val="00507DBB"/>
    <w:rsid w:val="005200A6"/>
    <w:rsid w:val="00526E4F"/>
    <w:rsid w:val="00541574"/>
    <w:rsid w:val="00541999"/>
    <w:rsid w:val="00545CAE"/>
    <w:rsid w:val="00552B28"/>
    <w:rsid w:val="00566E8F"/>
    <w:rsid w:val="00567A56"/>
    <w:rsid w:val="00572844"/>
    <w:rsid w:val="005741F6"/>
    <w:rsid w:val="00587209"/>
    <w:rsid w:val="005948D1"/>
    <w:rsid w:val="005965BA"/>
    <w:rsid w:val="005A691D"/>
    <w:rsid w:val="005B0C40"/>
    <w:rsid w:val="005B19CB"/>
    <w:rsid w:val="005B6A77"/>
    <w:rsid w:val="005C06F2"/>
    <w:rsid w:val="005C49AB"/>
    <w:rsid w:val="005C5909"/>
    <w:rsid w:val="005C69F0"/>
    <w:rsid w:val="005C7183"/>
    <w:rsid w:val="005D70D6"/>
    <w:rsid w:val="005E0B0F"/>
    <w:rsid w:val="005E0EE5"/>
    <w:rsid w:val="005F1D63"/>
    <w:rsid w:val="00600CEC"/>
    <w:rsid w:val="00603B22"/>
    <w:rsid w:val="00614530"/>
    <w:rsid w:val="00617DAF"/>
    <w:rsid w:val="006416A6"/>
    <w:rsid w:val="0065342F"/>
    <w:rsid w:val="00654B43"/>
    <w:rsid w:val="00655620"/>
    <w:rsid w:val="0065789D"/>
    <w:rsid w:val="00670289"/>
    <w:rsid w:val="0067559B"/>
    <w:rsid w:val="00676435"/>
    <w:rsid w:val="00680F01"/>
    <w:rsid w:val="00683990"/>
    <w:rsid w:val="00690390"/>
    <w:rsid w:val="00691142"/>
    <w:rsid w:val="00695BA8"/>
    <w:rsid w:val="0069791D"/>
    <w:rsid w:val="006B0341"/>
    <w:rsid w:val="006B3FAE"/>
    <w:rsid w:val="006B6DA0"/>
    <w:rsid w:val="006D3737"/>
    <w:rsid w:val="006D77DA"/>
    <w:rsid w:val="006E0FC6"/>
    <w:rsid w:val="006E2812"/>
    <w:rsid w:val="006E375B"/>
    <w:rsid w:val="007017A2"/>
    <w:rsid w:val="00706B85"/>
    <w:rsid w:val="00713499"/>
    <w:rsid w:val="007237AA"/>
    <w:rsid w:val="00733D08"/>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4793"/>
    <w:rsid w:val="008E7A85"/>
    <w:rsid w:val="008F0A32"/>
    <w:rsid w:val="008F30E5"/>
    <w:rsid w:val="008F5141"/>
    <w:rsid w:val="008F6C2C"/>
    <w:rsid w:val="00900104"/>
    <w:rsid w:val="00901BE7"/>
    <w:rsid w:val="0091253E"/>
    <w:rsid w:val="00915611"/>
    <w:rsid w:val="0092367C"/>
    <w:rsid w:val="00925024"/>
    <w:rsid w:val="0093372E"/>
    <w:rsid w:val="0093544B"/>
    <w:rsid w:val="00935469"/>
    <w:rsid w:val="00942092"/>
    <w:rsid w:val="009505A8"/>
    <w:rsid w:val="00965D38"/>
    <w:rsid w:val="00966E95"/>
    <w:rsid w:val="00967536"/>
    <w:rsid w:val="0098408D"/>
    <w:rsid w:val="00985FA9"/>
    <w:rsid w:val="00986D92"/>
    <w:rsid w:val="00992238"/>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5DDE"/>
    <w:rsid w:val="00AD2CF7"/>
    <w:rsid w:val="00AD7E35"/>
    <w:rsid w:val="00AE2A94"/>
    <w:rsid w:val="00AE4723"/>
    <w:rsid w:val="00B0510A"/>
    <w:rsid w:val="00B0587D"/>
    <w:rsid w:val="00B1501E"/>
    <w:rsid w:val="00B166AE"/>
    <w:rsid w:val="00B20935"/>
    <w:rsid w:val="00B23A3B"/>
    <w:rsid w:val="00B36674"/>
    <w:rsid w:val="00B3793D"/>
    <w:rsid w:val="00B41456"/>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96B26"/>
    <w:rsid w:val="00CA5C6B"/>
    <w:rsid w:val="00CB2F04"/>
    <w:rsid w:val="00CB50CE"/>
    <w:rsid w:val="00CC33EF"/>
    <w:rsid w:val="00CC722C"/>
    <w:rsid w:val="00CD52B0"/>
    <w:rsid w:val="00CE17A6"/>
    <w:rsid w:val="00CE205A"/>
    <w:rsid w:val="00CE414E"/>
    <w:rsid w:val="00CF0F63"/>
    <w:rsid w:val="00CF625D"/>
    <w:rsid w:val="00D00D86"/>
    <w:rsid w:val="00D05482"/>
    <w:rsid w:val="00D146B0"/>
    <w:rsid w:val="00D16704"/>
    <w:rsid w:val="00D356D2"/>
    <w:rsid w:val="00D40055"/>
    <w:rsid w:val="00D440FE"/>
    <w:rsid w:val="00D46CFF"/>
    <w:rsid w:val="00D52B09"/>
    <w:rsid w:val="00D9317F"/>
    <w:rsid w:val="00D93FCE"/>
    <w:rsid w:val="00D95C91"/>
    <w:rsid w:val="00D97B99"/>
    <w:rsid w:val="00DA2B04"/>
    <w:rsid w:val="00DB0A84"/>
    <w:rsid w:val="00DB1AC3"/>
    <w:rsid w:val="00DB3EA6"/>
    <w:rsid w:val="00DB541D"/>
    <w:rsid w:val="00DC4B47"/>
    <w:rsid w:val="00DE0AF8"/>
    <w:rsid w:val="00DE249D"/>
    <w:rsid w:val="00DE53D6"/>
    <w:rsid w:val="00DF6D74"/>
    <w:rsid w:val="00E03BBF"/>
    <w:rsid w:val="00E04746"/>
    <w:rsid w:val="00E1692C"/>
    <w:rsid w:val="00E27121"/>
    <w:rsid w:val="00E32ADB"/>
    <w:rsid w:val="00E340A2"/>
    <w:rsid w:val="00E356B4"/>
    <w:rsid w:val="00E41421"/>
    <w:rsid w:val="00E475B2"/>
    <w:rsid w:val="00E52CDF"/>
    <w:rsid w:val="00E54181"/>
    <w:rsid w:val="00E61A3E"/>
    <w:rsid w:val="00E62AFA"/>
    <w:rsid w:val="00E669DF"/>
    <w:rsid w:val="00E74DB2"/>
    <w:rsid w:val="00E75B9C"/>
    <w:rsid w:val="00E77CE5"/>
    <w:rsid w:val="00E851D0"/>
    <w:rsid w:val="00E85676"/>
    <w:rsid w:val="00E8618D"/>
    <w:rsid w:val="00E916D8"/>
    <w:rsid w:val="00E92EB5"/>
    <w:rsid w:val="00EA074C"/>
    <w:rsid w:val="00EA3A1F"/>
    <w:rsid w:val="00EB3428"/>
    <w:rsid w:val="00EB3CDB"/>
    <w:rsid w:val="00EC209E"/>
    <w:rsid w:val="00EC31DE"/>
    <w:rsid w:val="00EC4197"/>
    <w:rsid w:val="00EC6A2C"/>
    <w:rsid w:val="00ED3461"/>
    <w:rsid w:val="00EF2D6A"/>
    <w:rsid w:val="00EF67EC"/>
    <w:rsid w:val="00F12908"/>
    <w:rsid w:val="00F12FB9"/>
    <w:rsid w:val="00F216CF"/>
    <w:rsid w:val="00F27D28"/>
    <w:rsid w:val="00F40D0A"/>
    <w:rsid w:val="00F418CA"/>
    <w:rsid w:val="00F451B7"/>
    <w:rsid w:val="00F61B5E"/>
    <w:rsid w:val="00F625E4"/>
    <w:rsid w:val="00F638E8"/>
    <w:rsid w:val="00F64AEF"/>
    <w:rsid w:val="00F76434"/>
    <w:rsid w:val="00F7763D"/>
    <w:rsid w:val="00F82BFD"/>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customStyle="1" w:styleId="UnresolvedMention1">
    <w:name w:val="Unresolved Mention1"/>
    <w:basedOn w:val="DefaultParagraphFont"/>
    <w:uiPriority w:val="99"/>
    <w:semiHidden/>
    <w:unhideWhenUsed/>
    <w:rsid w:val="00B4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4.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9</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67</cp:revision>
  <dcterms:created xsi:type="dcterms:W3CDTF">2019-08-14T05:58:00Z</dcterms:created>
  <dcterms:modified xsi:type="dcterms:W3CDTF">2020-07-28T02:37:00Z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